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27, 2026</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333-295785 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23495</wp:posOffset>
            </wp:positionV>
            <wp:extent cx="46316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26035</wp:posOffset>
            </wp:positionV>
            <wp:extent cx="46316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4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AMENDMENT NO. 1</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XILIO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-217805</wp:posOffset>
            </wp:positionV>
            <wp:extent cx="4631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19685</wp:posOffset>
            </wp:positionV>
            <wp:extent cx="46316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1" w:lineRule="exact"/>
        <w:rPr>
          <w:sz w:val="24"/>
          <w:szCs w:val="24"/>
          <w:color w:val="auto"/>
        </w:rPr>
      </w:pPr>
    </w:p>
    <w:tbl>
      <w:tblPr>
        <w:tblLayout w:type="fixed"/>
        <w:tblInd w:w="2060" w:type="dxa"/>
        <w:tblCellMar>
          <w:top w:w="0" w:type="dxa"/>
          <w:left w:w="0" w:type="dxa"/>
          <w:bottom w:w="0" w:type="dxa"/>
          <w:right w:w="0" w:type="dxa"/>
        </w:tblCellMar>
      </w:tblPr>
      <w:tr>
        <w:trPr>
          <w:trHeight w:val="126"/>
        </w:trPr>
        <w:tc>
          <w:tcPr>
            <w:tcW w:w="2520" w:type="dxa"/>
            <w:vAlign w:val="bottom"/>
          </w:tcPr>
          <w:p>
            <w:pPr>
              <w:jc w:val="center"/>
              <w:ind w:right="1230"/>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220" w:type="dxa"/>
            <w:vAlign w:val="bottom"/>
          </w:tcPr>
          <w:p>
            <w:pPr>
              <w:jc w:val="center"/>
              <w:ind w:left="1210"/>
              <w:spacing w:after="0"/>
              <w:rPr>
                <w:sz w:val="20"/>
                <w:szCs w:val="20"/>
                <w:color w:val="auto"/>
              </w:rPr>
            </w:pPr>
            <w:r>
              <w:rPr>
                <w:rFonts w:ascii="Times New Roman" w:cs="Times New Roman" w:eastAsia="Times New Roman" w:hAnsi="Times New Roman"/>
                <w:sz w:val="11"/>
                <w:szCs w:val="11"/>
                <w:b w:val="1"/>
                <w:bCs w:val="1"/>
                <w:color w:val="auto"/>
                <w:w w:val="97"/>
              </w:rPr>
              <w:t>85-1623397</w:t>
            </w:r>
          </w:p>
        </w:tc>
      </w:tr>
      <w:tr>
        <w:trPr>
          <w:trHeight w:val="101"/>
        </w:trPr>
        <w:tc>
          <w:tcPr>
            <w:tcW w:w="2520" w:type="dxa"/>
            <w:vAlign w:val="bottom"/>
          </w:tcPr>
          <w:p>
            <w:pPr>
              <w:jc w:val="center"/>
              <w:ind w:right="1230"/>
              <w:spacing w:after="0" w:line="101" w:lineRule="exact"/>
              <w:rPr>
                <w:sz w:val="20"/>
                <w:szCs w:val="20"/>
                <w:color w:val="auto"/>
              </w:rPr>
            </w:pPr>
            <w:r>
              <w:rPr>
                <w:rFonts w:ascii="Times New Roman" w:cs="Times New Roman" w:eastAsia="Times New Roman" w:hAnsi="Times New Roman"/>
                <w:sz w:val="9"/>
                <w:szCs w:val="9"/>
                <w:b w:val="1"/>
                <w:bCs w:val="1"/>
                <w:color w:val="auto"/>
              </w:rPr>
              <w:t>(State or other jurisdiction of</w:t>
            </w:r>
          </w:p>
        </w:tc>
        <w:tc>
          <w:tcPr>
            <w:tcW w:w="2220" w:type="dxa"/>
            <w:vAlign w:val="bottom"/>
          </w:tcPr>
          <w:p>
            <w:pPr>
              <w:jc w:val="center"/>
              <w:ind w:left="1210"/>
              <w:spacing w:after="0" w:line="101" w:lineRule="exact"/>
              <w:rPr>
                <w:sz w:val="20"/>
                <w:szCs w:val="20"/>
                <w:color w:val="auto"/>
              </w:rPr>
            </w:pPr>
            <w:r>
              <w:rPr>
                <w:rFonts w:ascii="Times New Roman" w:cs="Times New Roman" w:eastAsia="Times New Roman" w:hAnsi="Times New Roman"/>
                <w:sz w:val="9"/>
                <w:szCs w:val="9"/>
                <w:b w:val="1"/>
                <w:bCs w:val="1"/>
                <w:color w:val="auto"/>
              </w:rPr>
              <w:t>(I.R.S. Employer</w:t>
            </w:r>
          </w:p>
        </w:tc>
      </w:tr>
      <w:tr>
        <w:trPr>
          <w:trHeight w:val="124"/>
        </w:trPr>
        <w:tc>
          <w:tcPr>
            <w:tcW w:w="2520" w:type="dxa"/>
            <w:vAlign w:val="bottom"/>
          </w:tcPr>
          <w:p>
            <w:pPr>
              <w:jc w:val="center"/>
              <w:ind w:right="123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tc>
        <w:tc>
          <w:tcPr>
            <w:tcW w:w="2220" w:type="dxa"/>
            <w:vAlign w:val="bottom"/>
          </w:tcPr>
          <w:p>
            <w:pPr>
              <w:jc w:val="center"/>
              <w:ind w:left="1230"/>
              <w:spacing w:after="0"/>
              <w:rPr>
                <w:sz w:val="20"/>
                <w:szCs w:val="20"/>
                <w:color w:val="auto"/>
              </w:rPr>
            </w:pPr>
            <w:r>
              <w:rPr>
                <w:rFonts w:ascii="Times New Roman" w:cs="Times New Roman" w:eastAsia="Times New Roman" w:hAnsi="Times New Roman"/>
                <w:sz w:val="9"/>
                <w:szCs w:val="9"/>
                <w:b w:val="1"/>
                <w:bCs w:val="1"/>
                <w:color w:val="auto"/>
              </w:rPr>
              <w:t>Identification Number)</w:t>
            </w:r>
          </w:p>
        </w:tc>
      </w:tr>
    </w:tbl>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828 Winter Street, Suite 300</w:t>
      </w:r>
    </w:p>
    <w:p>
      <w:pPr>
        <w:jc w:val="center"/>
        <w:ind w:right="39"/>
        <w:spacing w:after="0" w:line="211" w:lineRule="auto"/>
        <w:rPr>
          <w:sz w:val="20"/>
          <w:szCs w:val="20"/>
          <w:color w:val="auto"/>
        </w:rPr>
      </w:pPr>
      <w:r>
        <w:rPr>
          <w:rFonts w:ascii="Times New Roman" w:cs="Times New Roman" w:eastAsia="Times New Roman" w:hAnsi="Times New Roman"/>
          <w:sz w:val="11"/>
          <w:szCs w:val="11"/>
          <w:b w:val="1"/>
          <w:bCs w:val="1"/>
          <w:color w:val="auto"/>
        </w:rPr>
        <w:t>Waltham, Massachusetts 02451</w:t>
      </w:r>
    </w:p>
    <w:p>
      <w:pPr>
        <w:jc w:val="center"/>
        <w:spacing w:after="0" w:line="211" w:lineRule="auto"/>
        <w:rPr>
          <w:sz w:val="20"/>
          <w:szCs w:val="20"/>
          <w:color w:val="auto"/>
        </w:rPr>
      </w:pPr>
      <w:r>
        <w:rPr>
          <w:rFonts w:ascii="Times New Roman" w:cs="Times New Roman" w:eastAsia="Times New Roman" w:hAnsi="Times New Roman"/>
          <w:sz w:val="11"/>
          <w:szCs w:val="11"/>
          <w:b w:val="1"/>
          <w:bCs w:val="1"/>
          <w:color w:val="auto"/>
        </w:rPr>
        <w:t>(857) 524-2466</w:t>
      </w:r>
    </w:p>
    <w:p>
      <w:pPr>
        <w:ind w:left="17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19685</wp:posOffset>
            </wp:positionV>
            <wp:extent cx="46316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René Russo</w:t>
      </w:r>
    </w:p>
    <w:p>
      <w:pPr>
        <w:jc w:val="center"/>
        <w:ind w:right="39"/>
        <w:spacing w:after="0" w:line="211" w:lineRule="auto"/>
        <w:rPr>
          <w:sz w:val="20"/>
          <w:szCs w:val="20"/>
          <w:color w:val="auto"/>
        </w:rPr>
      </w:pPr>
      <w:r>
        <w:rPr>
          <w:rFonts w:ascii="Times New Roman" w:cs="Times New Roman" w:eastAsia="Times New Roman" w:hAnsi="Times New Roman"/>
          <w:sz w:val="11"/>
          <w:szCs w:val="11"/>
          <w:b w:val="1"/>
          <w:bCs w:val="1"/>
          <w:color w:val="auto"/>
        </w:rPr>
        <w:t>President and Chief Executive Officer</w:t>
      </w:r>
    </w:p>
    <w:p>
      <w:pPr>
        <w:jc w:val="center"/>
        <w:ind w:right="39"/>
        <w:spacing w:after="0" w:line="211" w:lineRule="auto"/>
        <w:rPr>
          <w:sz w:val="20"/>
          <w:szCs w:val="20"/>
          <w:color w:val="auto"/>
        </w:rPr>
      </w:pPr>
      <w:r>
        <w:rPr>
          <w:rFonts w:ascii="Times New Roman" w:cs="Times New Roman" w:eastAsia="Times New Roman" w:hAnsi="Times New Roman"/>
          <w:sz w:val="11"/>
          <w:szCs w:val="11"/>
          <w:b w:val="1"/>
          <w:bCs w:val="1"/>
          <w:color w:val="auto"/>
        </w:rPr>
        <w:t>Xilio Therapeutics, Inc.</w:t>
      </w:r>
    </w:p>
    <w:p>
      <w:pPr>
        <w:jc w:val="center"/>
        <w:ind w:right="39"/>
        <w:spacing w:after="0" w:line="212" w:lineRule="auto"/>
        <w:rPr>
          <w:sz w:val="20"/>
          <w:szCs w:val="20"/>
          <w:color w:val="auto"/>
        </w:rPr>
      </w:pPr>
      <w:r>
        <w:rPr>
          <w:rFonts w:ascii="Times New Roman" w:cs="Times New Roman" w:eastAsia="Times New Roman" w:hAnsi="Times New Roman"/>
          <w:sz w:val="11"/>
          <w:szCs w:val="11"/>
          <w:b w:val="1"/>
          <w:bCs w:val="1"/>
          <w:color w:val="auto"/>
        </w:rPr>
        <w:t>828 Winter Street, Suite 300</w:t>
      </w:r>
    </w:p>
    <w:p>
      <w:pPr>
        <w:jc w:val="center"/>
        <w:ind w:right="39"/>
        <w:spacing w:after="0" w:line="211" w:lineRule="auto"/>
        <w:rPr>
          <w:sz w:val="20"/>
          <w:szCs w:val="20"/>
          <w:color w:val="auto"/>
        </w:rPr>
      </w:pPr>
      <w:r>
        <w:rPr>
          <w:rFonts w:ascii="Times New Roman" w:cs="Times New Roman" w:eastAsia="Times New Roman" w:hAnsi="Times New Roman"/>
          <w:sz w:val="11"/>
          <w:szCs w:val="11"/>
          <w:b w:val="1"/>
          <w:bCs w:val="1"/>
          <w:color w:val="auto"/>
        </w:rPr>
        <w:t>Waltham, Massachusetts 02451</w:t>
      </w:r>
    </w:p>
    <w:p>
      <w:pPr>
        <w:jc w:val="center"/>
        <w:spacing w:after="0" w:line="212" w:lineRule="auto"/>
        <w:rPr>
          <w:sz w:val="20"/>
          <w:szCs w:val="20"/>
          <w:color w:val="auto"/>
        </w:rPr>
      </w:pPr>
      <w:r>
        <w:rPr>
          <w:rFonts w:ascii="Times New Roman" w:cs="Times New Roman" w:eastAsia="Times New Roman" w:hAnsi="Times New Roman"/>
          <w:sz w:val="11"/>
          <w:szCs w:val="11"/>
          <w:b w:val="1"/>
          <w:bCs w:val="1"/>
          <w:color w:val="auto"/>
        </w:rPr>
        <w:t>(857) 524-2466</w:t>
      </w: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26035</wp:posOffset>
            </wp:positionV>
            <wp:extent cx="46316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44" w:lineRule="exact"/>
        <w:rPr>
          <w:sz w:val="24"/>
          <w:szCs w:val="24"/>
          <w:color w:val="auto"/>
        </w:rPr>
      </w:pPr>
    </w:p>
    <w:tbl>
      <w:tblPr>
        <w:tblLayout w:type="fixed"/>
        <w:tblInd w:w="1960" w:type="dxa"/>
        <w:tblCellMar>
          <w:top w:w="0" w:type="dxa"/>
          <w:left w:w="0" w:type="dxa"/>
          <w:bottom w:w="0" w:type="dxa"/>
          <w:right w:w="0" w:type="dxa"/>
        </w:tblCellMar>
      </w:tblPr>
      <w:tr>
        <w:trPr>
          <w:trHeight w:val="150"/>
        </w:trPr>
        <w:tc>
          <w:tcPr>
            <w:tcW w:w="1880" w:type="dxa"/>
            <w:vAlign w:val="bottom"/>
          </w:tcPr>
          <w:p>
            <w:pPr>
              <w:spacing w:after="0"/>
              <w:rPr>
                <w:sz w:val="13"/>
                <w:szCs w:val="13"/>
                <w:color w:val="auto"/>
              </w:rPr>
            </w:pPr>
          </w:p>
        </w:tc>
        <w:tc>
          <w:tcPr>
            <w:tcW w:w="3540" w:type="dxa"/>
            <w:vAlign w:val="bottom"/>
          </w:tcPr>
          <w:p>
            <w:pPr>
              <w:ind w:left="4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r>
      <w:tr>
        <w:trPr>
          <w:trHeight w:val="111"/>
        </w:trPr>
        <w:tc>
          <w:tcPr>
            <w:tcW w:w="1880" w:type="dxa"/>
            <w:vAlign w:val="bottom"/>
          </w:tcPr>
          <w:p>
            <w:pPr>
              <w:jc w:val="center"/>
              <w:ind w:right="386"/>
              <w:spacing w:after="0" w:line="112" w:lineRule="exact"/>
              <w:rPr>
                <w:sz w:val="20"/>
                <w:szCs w:val="20"/>
                <w:color w:val="auto"/>
              </w:rPr>
            </w:pPr>
            <w:r>
              <w:rPr>
                <w:rFonts w:ascii="Times New Roman" w:cs="Times New Roman" w:eastAsia="Times New Roman" w:hAnsi="Times New Roman"/>
                <w:sz w:val="11"/>
                <w:szCs w:val="11"/>
                <w:b w:val="1"/>
                <w:bCs w:val="1"/>
                <w:color w:val="auto"/>
                <w:w w:val="98"/>
              </w:rPr>
              <w:t>Caroline Hensley</w:t>
            </w:r>
          </w:p>
        </w:tc>
        <w:tc>
          <w:tcPr>
            <w:tcW w:w="3540" w:type="dxa"/>
            <w:vAlign w:val="bottom"/>
          </w:tcPr>
          <w:p>
            <w:pPr>
              <w:jc w:val="center"/>
              <w:ind w:left="1386"/>
              <w:spacing w:after="0" w:line="112" w:lineRule="exact"/>
              <w:rPr>
                <w:sz w:val="20"/>
                <w:szCs w:val="20"/>
                <w:color w:val="auto"/>
              </w:rPr>
            </w:pPr>
            <w:r>
              <w:rPr>
                <w:rFonts w:ascii="Times New Roman" w:cs="Times New Roman" w:eastAsia="Times New Roman" w:hAnsi="Times New Roman"/>
                <w:sz w:val="11"/>
                <w:szCs w:val="11"/>
                <w:b w:val="1"/>
                <w:bCs w:val="1"/>
                <w:color w:val="auto"/>
                <w:w w:val="97"/>
              </w:rPr>
              <w:t>Cynthia T. Mazareas, Esq.</w:t>
            </w:r>
          </w:p>
        </w:tc>
      </w:tr>
      <w:tr>
        <w:trPr>
          <w:trHeight w:val="111"/>
        </w:trPr>
        <w:tc>
          <w:tcPr>
            <w:tcW w:w="1880" w:type="dxa"/>
            <w:vAlign w:val="bottom"/>
          </w:tcPr>
          <w:p>
            <w:pPr>
              <w:jc w:val="center"/>
              <w:ind w:right="386"/>
              <w:spacing w:after="0" w:line="112" w:lineRule="exact"/>
              <w:rPr>
                <w:sz w:val="20"/>
                <w:szCs w:val="20"/>
                <w:color w:val="auto"/>
              </w:rPr>
            </w:pPr>
            <w:r>
              <w:rPr>
                <w:rFonts w:ascii="Times New Roman" w:cs="Times New Roman" w:eastAsia="Times New Roman" w:hAnsi="Times New Roman"/>
                <w:sz w:val="11"/>
                <w:szCs w:val="11"/>
                <w:b w:val="1"/>
                <w:bCs w:val="1"/>
                <w:color w:val="auto"/>
                <w:w w:val="96"/>
              </w:rPr>
              <w:t>Chief Legal Officer</w:t>
            </w:r>
          </w:p>
        </w:tc>
        <w:tc>
          <w:tcPr>
            <w:tcW w:w="3540" w:type="dxa"/>
            <w:vAlign w:val="bottom"/>
          </w:tcPr>
          <w:p>
            <w:pPr>
              <w:jc w:val="center"/>
              <w:ind w:left="1386"/>
              <w:spacing w:after="0" w:line="112" w:lineRule="exact"/>
              <w:rPr>
                <w:sz w:val="20"/>
                <w:szCs w:val="20"/>
                <w:color w:val="auto"/>
              </w:rPr>
            </w:pPr>
            <w:r>
              <w:rPr>
                <w:rFonts w:ascii="Times New Roman" w:cs="Times New Roman" w:eastAsia="Times New Roman" w:hAnsi="Times New Roman"/>
                <w:sz w:val="11"/>
                <w:szCs w:val="11"/>
                <w:b w:val="1"/>
                <w:bCs w:val="1"/>
                <w:color w:val="auto"/>
                <w:w w:val="99"/>
              </w:rPr>
              <w:t>Molly W. Fox, Esq.</w:t>
            </w:r>
          </w:p>
        </w:tc>
      </w:tr>
      <w:tr>
        <w:trPr>
          <w:trHeight w:val="111"/>
        </w:trPr>
        <w:tc>
          <w:tcPr>
            <w:tcW w:w="1880" w:type="dxa"/>
            <w:vAlign w:val="bottom"/>
          </w:tcPr>
          <w:p>
            <w:pPr>
              <w:jc w:val="center"/>
              <w:ind w:right="386"/>
              <w:spacing w:after="0" w:line="112" w:lineRule="exact"/>
              <w:rPr>
                <w:sz w:val="20"/>
                <w:szCs w:val="20"/>
                <w:color w:val="auto"/>
              </w:rPr>
            </w:pPr>
            <w:r>
              <w:rPr>
                <w:rFonts w:ascii="Times New Roman" w:cs="Times New Roman" w:eastAsia="Times New Roman" w:hAnsi="Times New Roman"/>
                <w:sz w:val="11"/>
                <w:szCs w:val="11"/>
                <w:b w:val="1"/>
                <w:bCs w:val="1"/>
                <w:color w:val="auto"/>
                <w:w w:val="97"/>
              </w:rPr>
              <w:t>Xilio Therapeutics, Inc.</w:t>
            </w:r>
          </w:p>
        </w:tc>
        <w:tc>
          <w:tcPr>
            <w:tcW w:w="3540" w:type="dxa"/>
            <w:vAlign w:val="bottom"/>
          </w:tcPr>
          <w:p>
            <w:pPr>
              <w:jc w:val="center"/>
              <w:ind w:left="1386"/>
              <w:spacing w:after="0" w:line="112" w:lineRule="exact"/>
              <w:rPr>
                <w:sz w:val="20"/>
                <w:szCs w:val="20"/>
                <w:color w:val="auto"/>
              </w:rPr>
            </w:pPr>
            <w:r>
              <w:rPr>
                <w:rFonts w:ascii="Times New Roman" w:cs="Times New Roman" w:eastAsia="Times New Roman" w:hAnsi="Times New Roman"/>
                <w:sz w:val="11"/>
                <w:szCs w:val="11"/>
                <w:b w:val="1"/>
                <w:bCs w:val="1"/>
                <w:color w:val="auto"/>
                <w:w w:val="98"/>
              </w:rPr>
              <w:t>Wilmer Cutler Pickering Hale and Dorr LLP</w:t>
            </w:r>
          </w:p>
        </w:tc>
      </w:tr>
      <w:tr>
        <w:trPr>
          <w:trHeight w:val="111"/>
        </w:trPr>
        <w:tc>
          <w:tcPr>
            <w:tcW w:w="1880" w:type="dxa"/>
            <w:vAlign w:val="bottom"/>
          </w:tcPr>
          <w:p>
            <w:pPr>
              <w:jc w:val="center"/>
              <w:ind w:right="386"/>
              <w:spacing w:after="0" w:line="112" w:lineRule="exact"/>
              <w:rPr>
                <w:sz w:val="20"/>
                <w:szCs w:val="20"/>
                <w:color w:val="auto"/>
              </w:rPr>
            </w:pPr>
            <w:r>
              <w:rPr>
                <w:rFonts w:ascii="Times New Roman" w:cs="Times New Roman" w:eastAsia="Times New Roman" w:hAnsi="Times New Roman"/>
                <w:sz w:val="11"/>
                <w:szCs w:val="11"/>
                <w:b w:val="1"/>
                <w:bCs w:val="1"/>
                <w:color w:val="auto"/>
                <w:w w:val="96"/>
              </w:rPr>
              <w:t>828 Winter Street, Suite 300</w:t>
            </w:r>
          </w:p>
        </w:tc>
        <w:tc>
          <w:tcPr>
            <w:tcW w:w="3540" w:type="dxa"/>
            <w:vAlign w:val="bottom"/>
          </w:tcPr>
          <w:p>
            <w:pPr>
              <w:jc w:val="center"/>
              <w:ind w:left="1386"/>
              <w:spacing w:after="0" w:line="112" w:lineRule="exact"/>
              <w:rPr>
                <w:sz w:val="20"/>
                <w:szCs w:val="20"/>
                <w:color w:val="auto"/>
              </w:rPr>
            </w:pPr>
            <w:r>
              <w:rPr>
                <w:rFonts w:ascii="Times New Roman" w:cs="Times New Roman" w:eastAsia="Times New Roman" w:hAnsi="Times New Roman"/>
                <w:sz w:val="11"/>
                <w:szCs w:val="11"/>
                <w:b w:val="1"/>
                <w:bCs w:val="1"/>
                <w:color w:val="auto"/>
                <w:w w:val="96"/>
              </w:rPr>
              <w:t>60 State Street</w:t>
            </w:r>
          </w:p>
        </w:tc>
      </w:tr>
      <w:tr>
        <w:trPr>
          <w:trHeight w:val="111"/>
        </w:trPr>
        <w:tc>
          <w:tcPr>
            <w:tcW w:w="1880" w:type="dxa"/>
            <w:vAlign w:val="bottom"/>
          </w:tcPr>
          <w:p>
            <w:pPr>
              <w:jc w:val="center"/>
              <w:ind w:right="386"/>
              <w:spacing w:after="0" w:line="112" w:lineRule="exact"/>
              <w:rPr>
                <w:sz w:val="20"/>
                <w:szCs w:val="20"/>
                <w:color w:val="auto"/>
              </w:rPr>
            </w:pPr>
            <w:r>
              <w:rPr>
                <w:rFonts w:ascii="Times New Roman" w:cs="Times New Roman" w:eastAsia="Times New Roman" w:hAnsi="Times New Roman"/>
                <w:sz w:val="11"/>
                <w:szCs w:val="11"/>
                <w:b w:val="1"/>
                <w:bCs w:val="1"/>
                <w:color w:val="auto"/>
                <w:w w:val="97"/>
              </w:rPr>
              <w:t>Waltham, Massachusetts 02451</w:t>
            </w:r>
          </w:p>
        </w:tc>
        <w:tc>
          <w:tcPr>
            <w:tcW w:w="3540" w:type="dxa"/>
            <w:vAlign w:val="bottom"/>
          </w:tcPr>
          <w:p>
            <w:pPr>
              <w:jc w:val="center"/>
              <w:ind w:left="1386"/>
              <w:spacing w:after="0" w:line="112" w:lineRule="exact"/>
              <w:rPr>
                <w:sz w:val="20"/>
                <w:szCs w:val="20"/>
                <w:color w:val="auto"/>
              </w:rPr>
            </w:pPr>
            <w:r>
              <w:rPr>
                <w:rFonts w:ascii="Times New Roman" w:cs="Times New Roman" w:eastAsia="Times New Roman" w:hAnsi="Times New Roman"/>
                <w:sz w:val="11"/>
                <w:szCs w:val="11"/>
                <w:b w:val="1"/>
                <w:bCs w:val="1"/>
                <w:color w:val="auto"/>
                <w:w w:val="98"/>
              </w:rPr>
              <w:t>Boston, Massachusetts 02109</w:t>
            </w:r>
          </w:p>
        </w:tc>
      </w:tr>
      <w:tr>
        <w:trPr>
          <w:trHeight w:val="142"/>
        </w:trPr>
        <w:tc>
          <w:tcPr>
            <w:tcW w:w="1880" w:type="dxa"/>
            <w:vAlign w:val="bottom"/>
          </w:tcPr>
          <w:p>
            <w:pPr>
              <w:jc w:val="center"/>
              <w:ind w:right="386"/>
              <w:spacing w:after="0"/>
              <w:rPr>
                <w:sz w:val="20"/>
                <w:szCs w:val="20"/>
                <w:color w:val="auto"/>
              </w:rPr>
            </w:pPr>
            <w:r>
              <w:rPr>
                <w:rFonts w:ascii="Times New Roman" w:cs="Times New Roman" w:eastAsia="Times New Roman" w:hAnsi="Times New Roman"/>
                <w:sz w:val="11"/>
                <w:szCs w:val="11"/>
                <w:b w:val="1"/>
                <w:bCs w:val="1"/>
                <w:color w:val="auto"/>
                <w:w w:val="98"/>
              </w:rPr>
              <w:t>(857) 524-2466</w:t>
            </w:r>
          </w:p>
        </w:tc>
        <w:tc>
          <w:tcPr>
            <w:tcW w:w="3540" w:type="dxa"/>
            <w:vAlign w:val="bottom"/>
          </w:tcPr>
          <w:p>
            <w:pPr>
              <w:jc w:val="center"/>
              <w:ind w:left="1386"/>
              <w:spacing w:after="0"/>
              <w:rPr>
                <w:sz w:val="20"/>
                <w:szCs w:val="20"/>
                <w:color w:val="auto"/>
              </w:rPr>
            </w:pPr>
            <w:r>
              <w:rPr>
                <w:rFonts w:ascii="Times New Roman" w:cs="Times New Roman" w:eastAsia="Times New Roman" w:hAnsi="Times New Roman"/>
                <w:sz w:val="11"/>
                <w:szCs w:val="11"/>
                <w:b w:val="1"/>
                <w:bCs w:val="1"/>
                <w:color w:val="auto"/>
                <w:w w:val="98"/>
              </w:rPr>
              <w:t>Telephone: (617) 526-6000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18415</wp:posOffset>
            </wp:positionV>
            <wp:extent cx="46316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this registration statement becomes effective.</w:t>
      </w:r>
    </w:p>
    <w:p>
      <w:pPr>
        <w:spacing w:after="0" w:line="24" w:lineRule="exact"/>
        <w:rPr>
          <w:sz w:val="24"/>
          <w:szCs w:val="24"/>
          <w:color w:val="auto"/>
        </w:rPr>
      </w:pPr>
    </w:p>
    <w:p>
      <w:pPr>
        <w:ind w:left="8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51" w:lineRule="exact"/>
        <w:rPr>
          <w:sz w:val="24"/>
          <w:szCs w:val="24"/>
          <w:color w:val="auto"/>
        </w:rPr>
      </w:pPr>
    </w:p>
    <w:p>
      <w:pPr>
        <w:ind w:left="860" w:right="919"/>
        <w:spacing w:after="0" w:line="143"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ind w:left="860" w:right="1019"/>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860" w:right="133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860" w:right="9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ind w:left="860" w:right="1279"/>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 w:lineRule="exact"/>
        <w:rPr>
          <w:sz w:val="24"/>
          <w:szCs w:val="24"/>
          <w:color w:val="auto"/>
        </w:rPr>
      </w:pPr>
    </w:p>
    <w:p>
      <w:pPr>
        <w:ind w:left="860" w:right="919"/>
        <w:spacing w:after="0" w:line="24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60" w:type="dxa"/>
        <w:tblCellMar>
          <w:top w:w="0" w:type="dxa"/>
          <w:left w:w="0" w:type="dxa"/>
          <w:bottom w:w="0" w:type="dxa"/>
          <w:right w:w="0" w:type="dxa"/>
        </w:tblCellMar>
      </w:tblPr>
      <w:tr>
        <w:trPr>
          <w:trHeight w:val="160"/>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400" w:type="dxa"/>
            <w:vAlign w:val="bottom"/>
          </w:tcPr>
          <w:p>
            <w:pPr>
              <w:ind w:left="1120"/>
              <w:spacing w:after="0" w:line="111" w:lineRule="exact"/>
              <w:rPr>
                <w:sz w:val="20"/>
                <w:szCs w:val="20"/>
                <w:color w:val="auto"/>
              </w:rPr>
            </w:pPr>
            <w:r>
              <w:rPr>
                <w:rFonts w:ascii="MS PGothic" w:cs="MS PGothic" w:eastAsia="MS PGothic" w:hAnsi="MS PGothic"/>
                <w:sz w:val="11"/>
                <w:szCs w:val="11"/>
                <w:color w:val="auto"/>
              </w:rPr>
              <w:t>☐</w:t>
            </w:r>
          </w:p>
        </w:tc>
        <w:tc>
          <w:tcPr>
            <w:tcW w:w="2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Accelerated filer</w:t>
            </w:r>
          </w:p>
        </w:tc>
        <w:tc>
          <w:tcPr>
            <w:tcW w:w="112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2"/>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400" w:type="dxa"/>
            <w:vAlign w:val="bottom"/>
          </w:tcPr>
          <w:p>
            <w:pPr>
              <w:ind w:left="1120"/>
              <w:spacing w:after="0" w:line="111" w:lineRule="exact"/>
              <w:rPr>
                <w:sz w:val="20"/>
                <w:szCs w:val="20"/>
                <w:color w:val="auto"/>
              </w:rPr>
            </w:pPr>
            <w:r>
              <w:rPr>
                <w:rFonts w:ascii="MS PGothic" w:cs="MS PGothic" w:eastAsia="MS PGothic" w:hAnsi="MS PGothic"/>
                <w:sz w:val="11"/>
                <w:szCs w:val="11"/>
                <w:color w:val="auto"/>
              </w:rPr>
              <w:t>☒</w:t>
            </w:r>
          </w:p>
        </w:tc>
        <w:tc>
          <w:tcPr>
            <w:tcW w:w="2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12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3"/>
        </w:trPr>
        <w:tc>
          <w:tcPr>
            <w:tcW w:w="2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Emerging growth company</w:t>
            </w:r>
          </w:p>
        </w:tc>
        <w:tc>
          <w:tcPr>
            <w:tcW w:w="112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w w:val="72"/>
              </w:rPr>
              <w:t>☒</w:t>
            </w:r>
          </w:p>
        </w:tc>
      </w:tr>
    </w:tbl>
    <w:p>
      <w:pPr>
        <w:ind w:left="860" w:right="979"/>
        <w:spacing w:after="0" w:line="14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12700</wp:posOffset>
            </wp:positionV>
            <wp:extent cx="46316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1" w:lineRule="exact"/>
        <w:rPr>
          <w:sz w:val="24"/>
          <w:szCs w:val="24"/>
          <w:color w:val="auto"/>
        </w:rPr>
      </w:pPr>
    </w:p>
    <w:p>
      <w:pPr>
        <w:jc w:val="both"/>
        <w:ind w:left="860" w:right="879"/>
        <w:spacing w:after="0" w:line="226"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578485</wp:posOffset>
            </wp:positionV>
            <wp:extent cx="528764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18415</wp:posOffset>
            </wp:positionV>
            <wp:extent cx="46316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67"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The registrant is filing this Amendment No. 1 to this registration statement to (i) reflect that since the initial filing of this registration statement, the registrant has issued and sold $4,596,248 of securities under the registrant’s Registration Statement on Form S-3 (File No. 333-285703) (the “Prior S-3”) and that, consequently, the dollar amount of unsold securities from the Prior S-3 to be included in this registration statement pursuant to Rule 415(a)(6) under the Securities Act of 1933, as amended, has changed, as reflected on an updated filing fee table, filed herewith as Exhibit 107, (ii) provide an updated calculation of our public float and corresponding update to the dollar amount of our common stock registered under the sales agreement prospectus contained in this registration statement, (iii) provide an updated legal opinion, filed herewith as Exhibit 5.1 and (iv) provide an updated auditor consent, filed herewith as Exhibit 23.1.</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82" w:lineRule="exact"/>
        <w:rPr>
          <w:sz w:val="20"/>
          <w:szCs w:val="20"/>
          <w:color w:val="auto"/>
        </w:rPr>
      </w:pPr>
    </w:p>
    <w:p>
      <w:pPr>
        <w:ind w:left="1440" w:right="1179" w:hanging="252"/>
        <w:spacing w:after="0" w:line="261" w:lineRule="auto"/>
        <w:tabs>
          <w:tab w:leader="none" w:pos="14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covering the offering, issuance and sale by us of up to $250,000,000 of our common stock, preferred stock, debt securities, units and warrants from time to time in one or more offerings; and</w:t>
      </w:r>
    </w:p>
    <w:p>
      <w:pPr>
        <w:spacing w:after="0" w:line="55" w:lineRule="exact"/>
        <w:rPr>
          <w:rFonts w:ascii="Times New Roman" w:cs="Times New Roman" w:eastAsia="Times New Roman" w:hAnsi="Times New Roman"/>
          <w:sz w:val="14"/>
          <w:szCs w:val="14"/>
          <w:color w:val="auto"/>
        </w:rPr>
      </w:pPr>
    </w:p>
    <w:p>
      <w:pPr>
        <w:ind w:left="1440" w:right="1179" w:hanging="252"/>
        <w:spacing w:after="0" w:line="345" w:lineRule="auto"/>
        <w:tabs>
          <w:tab w:leader="none" w:pos="14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sales agreement prospectus covering the offering, issuance and sale by us of up to a maximum of $14,500,000 of our common stock that may be issued and sold from time to time under a sales agreement with Leerink Partners LLC.</w:t>
      </w:r>
    </w:p>
    <w:p>
      <w:pPr>
        <w:spacing w:after="0" w:line="90"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other than the shares offered pursuant to the sales agreement, will be specified in a prospectus supplement to the base prospectus. The specific terms of the securities to be offered pursuant to the sales agreement are specified in the sales agreement prospectus that immediately follows the base prospectus. The $14,500,000 of common stock that may be offered, issued and sold by us under the sales agreement prospectus (the “ATM Shares”) is included in the $250,000,000 of securities that may be offered, issued and sold by us under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559435</wp:posOffset>
            </wp:positionV>
            <wp:extent cx="528764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2" w:name="page3"/>
    <w:bookmarkEnd w:id="2"/>
    <w:p>
      <w:pPr>
        <w:ind w:left="860" w:right="899"/>
        <w:spacing w:after="0" w:line="239" w:lineRule="auto"/>
        <w:rPr>
          <w:sz w:val="20"/>
          <w:szCs w:val="20"/>
          <w:color w:val="auto"/>
        </w:rPr>
      </w:pPr>
      <w:r>
        <w:rPr>
          <w:rFonts w:ascii="Arial" w:cs="Arial" w:eastAsia="Arial" w:hAnsi="Arial"/>
          <w:sz w:val="14"/>
          <w:szCs w:val="14"/>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FF4338"/>
        </w:rPr>
        <w:t>Subject to completion, dated May 27, 2026</w:t>
      </w:r>
    </w:p>
    <w:p>
      <w:pPr>
        <w:spacing w:after="0" w:line="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79375</wp:posOffset>
            </wp:positionV>
            <wp:extent cx="1299210" cy="662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921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Xilio Therapeutics, Inc.</w:t>
      </w:r>
    </w:p>
    <w:p>
      <w:pPr>
        <w:spacing w:after="0" w:line="10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58420</wp:posOffset>
            </wp:positionV>
            <wp:extent cx="463169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150" w:lineRule="exact"/>
        <w:rPr>
          <w:sz w:val="20"/>
          <w:szCs w:val="20"/>
          <w:color w:val="auto"/>
        </w:rPr>
      </w:pPr>
    </w:p>
    <w:p>
      <w:pPr>
        <w:ind w:left="860" w:right="919" w:firstLine="331"/>
        <w:spacing w:after="0" w:line="297" w:lineRule="auto"/>
        <w:rPr>
          <w:sz w:val="20"/>
          <w:szCs w:val="20"/>
          <w:color w:val="auto"/>
        </w:rPr>
      </w:pPr>
      <w:r>
        <w:rPr>
          <w:rFonts w:ascii="Times New Roman" w:cs="Times New Roman" w:eastAsia="Times New Roman" w:hAnsi="Times New Roman"/>
          <w:sz w:val="12"/>
          <w:szCs w:val="12"/>
          <w:color w:val="auto"/>
        </w:rPr>
        <w:t>We may offer and sell securities from time to time in one or more offerings of up to $250,000,000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38" w:lineRule="exact"/>
        <w:rPr>
          <w:sz w:val="20"/>
          <w:szCs w:val="20"/>
          <w:color w:val="auto"/>
        </w:rPr>
      </w:pPr>
    </w:p>
    <w:p>
      <w:pPr>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62" w:lineRule="exact"/>
        <w:rPr>
          <w:sz w:val="20"/>
          <w:szCs w:val="20"/>
          <w:color w:val="auto"/>
        </w:rPr>
      </w:pPr>
    </w:p>
    <w:p>
      <w:pPr>
        <w:ind w:left="860" w:right="1039" w:firstLine="331"/>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“XLO.” On May 26, 2026, the last reported sale price of our common stock was $8.35 per share.</w:t>
      </w:r>
    </w:p>
    <w:p>
      <w:pPr>
        <w:spacing w:after="0" w:line="55"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Pursuant to General Instruction I.B.6 of Form S-3, in no event will we sell our common stock in a public primary offering with a value exceeding more than one-third of our public float in any 12-month period so long as our public float remains below $75.0 million. As of May 26, 2026, the aggregate market value of our outstanding common stock held by non-affiliates, or public float, was approximately $57,598,009, which we calculated based on 6,575,139 shares of outstanding common stock as of May 26, 2026, of which 6,537,799 shares were held by non-affiliates on such date and a price of $8.81 per share, which was the price at which our common stock was last sold on The Nasdaq Capital Market on May 14, 2026, calculated in accordance with General Instruction I.B.6 of Form S-3. During the 12 calendar months prior to and including the date of this prospectus, we have not offered or sold any securities pursuant to General Instruction I.B.6 of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64135</wp:posOffset>
            </wp:positionV>
            <wp:extent cx="46316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150" w:lineRule="exact"/>
        <w:rPr>
          <w:sz w:val="20"/>
          <w:szCs w:val="20"/>
          <w:color w:val="auto"/>
        </w:rPr>
      </w:pPr>
    </w:p>
    <w:p>
      <w:pPr>
        <w:ind w:left="860" w:right="1039" w:firstLine="331"/>
        <w:spacing w:after="0" w:line="250" w:lineRule="auto"/>
        <w:rPr>
          <w:sz w:val="20"/>
          <w:szCs w:val="20"/>
          <w:color w:val="auto"/>
        </w:rPr>
      </w:pPr>
      <w:r>
        <w:rPr>
          <w:rFonts w:ascii="Times New Roman" w:cs="Times New Roman" w:eastAsia="Times New Roman" w:hAnsi="Times New Roman"/>
          <w:sz w:val="16"/>
          <w:szCs w:val="16"/>
          <w:b w:val="1"/>
          <w:bCs w:val="1"/>
          <w:color w:val="auto"/>
        </w:rPr>
        <w:t>Investing in these securities involves risks. See the information included under “</w:t>
      </w:r>
      <w:r>
        <w:rPr>
          <w:rFonts w:ascii="Times New Roman" w:cs="Times New Roman" w:eastAsia="Times New Roman" w:hAnsi="Times New Roman"/>
          <w:sz w:val="16"/>
          <w:szCs w:val="16"/>
          <w:b w:val="1"/>
          <w:bCs w:val="1"/>
          <w:color w:val="0000FF"/>
        </w:rPr>
        <w:t>Risk Factors</w:t>
      </w:r>
      <w:r>
        <w:rPr>
          <w:rFonts w:ascii="Times New Roman" w:cs="Times New Roman" w:eastAsia="Times New Roman" w:hAnsi="Times New Roman"/>
          <w:sz w:val="16"/>
          <w:szCs w:val="16"/>
          <w:b w:val="1"/>
          <w:bCs w:val="1"/>
          <w:color w:val="auto"/>
        </w:rPr>
        <w:t>” on page 7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48895</wp:posOffset>
            </wp:positionV>
            <wp:extent cx="463169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-375285</wp:posOffset>
            </wp:positionV>
            <wp:extent cx="55753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530" cy="6350"/>
                    </a:xfrm>
                    <a:prstGeom prst="rect">
                      <a:avLst/>
                    </a:prstGeom>
                    <a:noFill/>
                  </pic:spPr>
                </pic:pic>
              </a:graphicData>
            </a:graphic>
          </wp:anchor>
        </w:drawing>
      </w:r>
    </w:p>
    <w:p>
      <w:pPr>
        <w:spacing w:after="0" w:line="131" w:lineRule="exact"/>
        <w:rPr>
          <w:sz w:val="20"/>
          <w:szCs w:val="20"/>
          <w:color w:val="auto"/>
        </w:rPr>
      </w:pPr>
    </w:p>
    <w:p>
      <w:pPr>
        <w:jc w:val="both"/>
        <w:ind w:left="860" w:right="1019" w:firstLine="331"/>
        <w:spacing w:after="0" w:line="25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577850</wp:posOffset>
            </wp:positionV>
            <wp:extent cx="528764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3" w:name="page4"/>
    <w:bookmarkEnd w:id="3"/>
    <w:tbl>
      <w:tblPr>
        <w:tblLayout w:type="fixed"/>
        <w:tblInd w:w="36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3380" w:type="dxa"/>
            <w:vAlign w:val="bottom"/>
          </w:tcPr>
          <w:p>
            <w:pPr>
              <w:spacing w:after="0"/>
              <w:rPr>
                <w:sz w:val="15"/>
                <w:szCs w:val="15"/>
                <w:color w:val="auto"/>
              </w:rPr>
            </w:pPr>
          </w:p>
        </w:tc>
      </w:tr>
      <w:tr>
        <w:trPr>
          <w:trHeight w:val="477"/>
        </w:trPr>
        <w:tc>
          <w:tcPr>
            <w:tcW w:w="500" w:type="dxa"/>
            <w:vAlign w:val="bottom"/>
          </w:tcPr>
          <w:p>
            <w:pPr>
              <w:spacing w:after="0"/>
              <w:rPr>
                <w:sz w:val="24"/>
                <w:szCs w:val="24"/>
                <w:color w:val="auto"/>
              </w:rPr>
            </w:pPr>
          </w:p>
        </w:tc>
        <w:tc>
          <w:tcPr>
            <w:tcW w:w="1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FF"/>
                <w:w w:val="95"/>
              </w:rPr>
              <w:t>ABOUT THIS PROSPECTUS</w:t>
            </w:r>
          </w:p>
        </w:tc>
        <w:tc>
          <w:tcPr>
            <w:tcW w:w="2720" w:type="dxa"/>
            <w:vAlign w:val="bottom"/>
            <w:gridSpan w:val="7"/>
          </w:tcPr>
          <w:p>
            <w:pPr>
              <w:spacing w:after="0"/>
              <w:rPr>
                <w:sz w:val="24"/>
                <w:szCs w:val="24"/>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500" w:type="dxa"/>
            <w:vAlign w:val="bottom"/>
          </w:tcPr>
          <w:p>
            <w:pPr>
              <w:spacing w:after="0"/>
              <w:rPr>
                <w:sz w:val="18"/>
                <w:szCs w:val="18"/>
                <w:color w:val="auto"/>
              </w:rPr>
            </w:pPr>
          </w:p>
        </w:tc>
        <w:tc>
          <w:tcPr>
            <w:tcW w:w="28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FF"/>
                <w:w w:val="95"/>
              </w:rPr>
              <w:t>WHERE YOU CAN FIND MORE INFORMATION</w:t>
            </w:r>
          </w:p>
        </w:tc>
        <w:tc>
          <w:tcPr>
            <w:tcW w:w="1520" w:type="dxa"/>
            <w:vAlign w:val="bottom"/>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w:t>
            </w: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INCORPORATION BY REFERENCE</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FF"/>
                <w:w w:val="96"/>
              </w:rPr>
              <w:t>CAUTIONARY NOTE REGARDING FORWARD-LOOKING STATEMENTS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4</w:t>
            </w: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ABOUT XILIO THERAPEUTICS, INC.</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00" w:type="dxa"/>
            <w:vAlign w:val="bottom"/>
          </w:tcPr>
          <w:p>
            <w:pPr>
              <w:spacing w:after="0"/>
              <w:rPr>
                <w:sz w:val="18"/>
                <w:szCs w:val="18"/>
                <w:color w:val="auto"/>
              </w:rPr>
            </w:pPr>
          </w:p>
        </w:tc>
        <w:tc>
          <w:tcPr>
            <w:tcW w:w="22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2180" w:type="dxa"/>
            <w:vAlign w:val="bottom"/>
            <w:gridSpan w:val="3"/>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DESCRIPTION OF CAPITAL STOCK</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DESCRIPTION OF DEBT SECURITIES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15</w:t>
            </w:r>
          </w:p>
        </w:tc>
      </w:tr>
      <w:tr>
        <w:trPr>
          <w:trHeight w:val="213"/>
        </w:trPr>
        <w:tc>
          <w:tcPr>
            <w:tcW w:w="500" w:type="dxa"/>
            <w:vAlign w:val="bottom"/>
          </w:tcPr>
          <w:p>
            <w:pPr>
              <w:spacing w:after="0"/>
              <w:rPr>
                <w:sz w:val="18"/>
                <w:szCs w:val="18"/>
                <w:color w:val="auto"/>
              </w:rPr>
            </w:pPr>
          </w:p>
        </w:tc>
        <w:tc>
          <w:tcPr>
            <w:tcW w:w="18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FF"/>
                <w:w w:val="95"/>
              </w:rPr>
              <w:t>DESCRIPTION OF WARRANTS</w:t>
            </w:r>
          </w:p>
        </w:tc>
        <w:tc>
          <w:tcPr>
            <w:tcW w:w="380" w:type="dxa"/>
            <w:vAlign w:val="bottom"/>
            <w:tcBorders>
              <w:top w:val="single" w:sz="8" w:color="0000EE"/>
            </w:tcBorders>
            <w:gridSpan w:val="4"/>
          </w:tcPr>
          <w:p>
            <w:pPr>
              <w:spacing w:after="0"/>
              <w:rPr>
                <w:sz w:val="18"/>
                <w:szCs w:val="18"/>
                <w:color w:val="auto"/>
              </w:rPr>
            </w:pPr>
          </w:p>
        </w:tc>
        <w:tc>
          <w:tcPr>
            <w:tcW w:w="2140" w:type="dxa"/>
            <w:vAlign w:val="bottom"/>
            <w:gridSpan w:val="2"/>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23</w:t>
            </w:r>
          </w:p>
        </w:tc>
      </w:tr>
      <w:tr>
        <w:trPr>
          <w:trHeight w:val="213"/>
        </w:trPr>
        <w:tc>
          <w:tcPr>
            <w:tcW w:w="500" w:type="dxa"/>
            <w:vAlign w:val="bottom"/>
          </w:tcPr>
          <w:p>
            <w:pPr>
              <w:spacing w:after="0"/>
              <w:rPr>
                <w:sz w:val="18"/>
                <w:szCs w:val="18"/>
                <w:color w:val="auto"/>
              </w:rPr>
            </w:pPr>
          </w:p>
        </w:tc>
        <w:tc>
          <w:tcPr>
            <w:tcW w:w="1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FF"/>
                <w:w w:val="95"/>
              </w:rPr>
              <w:t>DESCRIPTION OF UNITS</w:t>
            </w:r>
          </w:p>
        </w:tc>
        <w:tc>
          <w:tcPr>
            <w:tcW w:w="2880" w:type="dxa"/>
            <w:vAlign w:val="bottom"/>
            <w:gridSpan w:val="9"/>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25</w:t>
            </w:r>
          </w:p>
        </w:tc>
      </w:tr>
      <w:tr>
        <w:trPr>
          <w:trHeight w:val="213"/>
        </w:trPr>
        <w:tc>
          <w:tcPr>
            <w:tcW w:w="500" w:type="dxa"/>
            <w:vAlign w:val="bottom"/>
          </w:tcPr>
          <w:p>
            <w:pPr>
              <w:spacing w:after="0"/>
              <w:rPr>
                <w:sz w:val="18"/>
                <w:szCs w:val="18"/>
                <w:color w:val="auto"/>
              </w:rPr>
            </w:pPr>
          </w:p>
        </w:tc>
        <w:tc>
          <w:tcPr>
            <w:tcW w:w="1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FF"/>
                <w:w w:val="94"/>
              </w:rPr>
              <w:t>FORMS OF SECURITIES</w:t>
            </w:r>
          </w:p>
        </w:tc>
        <w:tc>
          <w:tcPr>
            <w:tcW w:w="2940" w:type="dxa"/>
            <w:vAlign w:val="bottom"/>
            <w:gridSpan w:val="10"/>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26</w:t>
            </w:r>
          </w:p>
        </w:tc>
      </w:tr>
      <w:tr>
        <w:trPr>
          <w:trHeight w:val="213"/>
        </w:trPr>
        <w:tc>
          <w:tcPr>
            <w:tcW w:w="500" w:type="dxa"/>
            <w:vAlign w:val="bottom"/>
          </w:tcPr>
          <w:p>
            <w:pPr>
              <w:spacing w:after="0"/>
              <w:rPr>
                <w:sz w:val="18"/>
                <w:szCs w:val="18"/>
                <w:color w:val="auto"/>
              </w:rPr>
            </w:pPr>
          </w:p>
        </w:tc>
        <w:tc>
          <w:tcPr>
            <w:tcW w:w="1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FF"/>
                <w:w w:val="95"/>
              </w:rPr>
              <w:t>PLAN OF DISTRIBUTION</w:t>
            </w:r>
          </w:p>
        </w:tc>
        <w:tc>
          <w:tcPr>
            <w:tcW w:w="2860" w:type="dxa"/>
            <w:vAlign w:val="bottom"/>
            <w:gridSpan w:val="8"/>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28</w:t>
            </w: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MATTERS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29</w:t>
            </w:r>
          </w:p>
        </w:tc>
      </w:tr>
      <w:tr>
        <w:trPr>
          <w:trHeight w:val="213"/>
        </w:trPr>
        <w:tc>
          <w:tcPr>
            <w:tcW w:w="500" w:type="dxa"/>
            <w:vAlign w:val="bottom"/>
          </w:tcPr>
          <w:p>
            <w:pPr>
              <w:spacing w:after="0"/>
              <w:rPr>
                <w:sz w:val="18"/>
                <w:szCs w:val="18"/>
                <w:color w:val="auto"/>
              </w:rPr>
            </w:pPr>
          </w:p>
        </w:tc>
        <w:tc>
          <w:tcPr>
            <w:tcW w:w="11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FF"/>
              </w:rPr>
              <w:t>EXPERTS</w:t>
            </w:r>
          </w:p>
        </w:tc>
        <w:tc>
          <w:tcPr>
            <w:tcW w:w="3300" w:type="dxa"/>
            <w:vAlign w:val="bottom"/>
            <w:gridSpan w:val="12"/>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29</w:t>
            </w:r>
          </w:p>
        </w:tc>
      </w:tr>
      <w:tr>
        <w:trPr>
          <w:trHeight w:val="1074"/>
        </w:trPr>
        <w:tc>
          <w:tcPr>
            <w:tcW w:w="50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7" w:lineRule="exact"/>
        <w:rPr>
          <w:sz w:val="20"/>
          <w:szCs w:val="20"/>
          <w:color w:val="auto"/>
        </w:rPr>
      </w:pPr>
    </w:p>
    <w:p>
      <w:pPr>
        <w:ind w:left="860" w:right="1119" w:firstLine="331"/>
        <w:spacing w:after="0" w:line="313" w:lineRule="auto"/>
        <w:rPr>
          <w:sz w:val="20"/>
          <w:szCs w:val="20"/>
          <w:color w:val="auto"/>
        </w:rPr>
      </w:pPr>
      <w:r>
        <w:rPr>
          <w:rFonts w:ascii="Times New Roman" w:cs="Times New Roman" w:eastAsia="Times New Roman" w:hAnsi="Times New Roman"/>
          <w:sz w:val="12"/>
          <w:szCs w:val="12"/>
          <w:color w:val="auto"/>
        </w:rPr>
        <w:t>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08" w:lineRule="exact"/>
        <w:rPr>
          <w:sz w:val="20"/>
          <w:szCs w:val="20"/>
          <w:color w:val="auto"/>
        </w:rPr>
      </w:pPr>
    </w:p>
    <w:p>
      <w:pPr>
        <w:jc w:val="both"/>
        <w:ind w:left="860" w:right="1099" w:firstLine="331"/>
        <w:spacing w:after="0" w:line="246"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w:t>
      </w:r>
    </w:p>
    <w:p>
      <w:pPr>
        <w:spacing w:after="0" w:line="148" w:lineRule="exact"/>
        <w:rPr>
          <w:sz w:val="20"/>
          <w:szCs w:val="20"/>
          <w:color w:val="auto"/>
        </w:rPr>
      </w:pPr>
    </w:p>
    <w:p>
      <w:pPr>
        <w:ind w:left="860" w:right="879" w:firstLine="331"/>
        <w:spacing w:after="0" w:line="292" w:lineRule="auto"/>
        <w:rPr>
          <w:sz w:val="20"/>
          <w:szCs w:val="20"/>
          <w:color w:val="auto"/>
        </w:rPr>
      </w:pPr>
      <w:r>
        <w:rPr>
          <w:rFonts w:ascii="Times New Roman" w:cs="Times New Roman" w:eastAsia="Times New Roman" w:hAnsi="Times New Roman"/>
          <w:sz w:val="12"/>
          <w:szCs w:val="12"/>
          <w:color w:val="auto"/>
        </w:rPr>
        <w:t>You should rely only on the information contained in or incorporated by reference in this prospectus, in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84" w:lineRule="exact"/>
        <w:rPr>
          <w:sz w:val="20"/>
          <w:szCs w:val="20"/>
          <w:color w:val="auto"/>
        </w:r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Unless the context otherwise indicates, references in this prospectus to the “Company,” “we,” “our” and “us” refer collectively to Xilio Therapeutics, Inc., a Delaware corporation, and its consolidated subsidiaries.</w:t>
      </w:r>
    </w:p>
    <w:p>
      <w:pPr>
        <w:spacing w:after="0" w:line="136" w:lineRule="exact"/>
        <w:rPr>
          <w:sz w:val="20"/>
          <w:szCs w:val="20"/>
          <w:color w:val="auto"/>
        </w:rPr>
      </w:pPr>
    </w:p>
    <w:p>
      <w:pPr>
        <w:ind w:left="860" w:right="1079" w:firstLine="331"/>
        <w:spacing w:after="0" w:line="302" w:lineRule="auto"/>
        <w:rPr>
          <w:sz w:val="20"/>
          <w:szCs w:val="20"/>
          <w:color w:val="auto"/>
        </w:rPr>
      </w:pPr>
      <w:r>
        <w:rPr>
          <w:rFonts w:ascii="Times New Roman" w:cs="Times New Roman" w:eastAsia="Times New Roman" w:hAnsi="Times New Roman"/>
          <w:sz w:val="12"/>
          <w:szCs w:val="12"/>
          <w:color w:val="auto"/>
        </w:rPr>
        <w:t>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7" w:lineRule="exact"/>
        <w:rPr>
          <w:sz w:val="20"/>
          <w:szCs w:val="20"/>
          <w:color w:val="auto"/>
        </w:rPr>
      </w:pPr>
    </w:p>
    <w:p>
      <w:pPr>
        <w:ind w:left="860" w:right="919" w:firstLine="331"/>
        <w:spacing w:after="0" w:line="248"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www.xiliotx.com. Our website is not a part of this prospectus and is not incorporated by reference in this prospectus.</w:t>
      </w:r>
    </w:p>
    <w:p>
      <w:pPr>
        <w:spacing w:after="0" w:line="145"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67" w:lineRule="exact"/>
        <w:rPr>
          <w:sz w:val="20"/>
          <w:szCs w:val="20"/>
          <w:color w:val="auto"/>
        </w:rPr>
      </w:pPr>
    </w:p>
    <w:p>
      <w:pPr>
        <w:ind w:left="860" w:right="879" w:firstLine="331"/>
        <w:spacing w:after="0" w:line="288" w:lineRule="auto"/>
        <w:rPr>
          <w:sz w:val="20"/>
          <w:szCs w:val="20"/>
          <w:color w:val="auto"/>
        </w:rPr>
      </w:pPr>
      <w:r>
        <w:rPr>
          <w:rFonts w:ascii="Times New Roman" w:cs="Times New Roman" w:eastAsia="Times New Roman" w:hAnsi="Times New Roman"/>
          <w:sz w:val="12"/>
          <w:szCs w:val="12"/>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001-40925)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208" w:lineRule="exact"/>
        <w:rPr>
          <w:sz w:val="20"/>
          <w:szCs w:val="20"/>
          <w:color w:val="auto"/>
        </w:rPr>
      </w:pPr>
    </w:p>
    <w:p>
      <w:pPr>
        <w:ind w:left="1440" w:hanging="252"/>
        <w:spacing w:after="0"/>
        <w:tabs>
          <w:tab w:leader="none" w:pos="1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9">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as filed with the SEC on March 23, 2026;</w:t>
      </w:r>
    </w:p>
    <w:p>
      <w:pPr>
        <w:spacing w:after="0" w:line="82" w:lineRule="exact"/>
        <w:rPr>
          <w:rFonts w:ascii="Times New Roman" w:cs="Times New Roman" w:eastAsia="Times New Roman" w:hAnsi="Times New Roman"/>
          <w:sz w:val="14"/>
          <w:szCs w:val="14"/>
          <w:color w:val="auto"/>
        </w:rPr>
      </w:pPr>
    </w:p>
    <w:p>
      <w:pPr>
        <w:jc w:val="both"/>
        <w:ind w:left="1440" w:right="919" w:hanging="252"/>
        <w:spacing w:after="0" w:line="251" w:lineRule="auto"/>
        <w:tabs>
          <w:tab w:leader="none" w:pos="1440" w:val="left"/>
        </w:tabs>
        <w:numPr>
          <w:ilvl w:val="0"/>
          <w:numId w:val="2"/>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The information included in our definitive proxy statement on Schedule 14A for the 2026 Annual Meeting of Stockholders, </w:t>
      </w:r>
      <w:hyperlink r:id="rId29">
        <w:r>
          <w:rPr>
            <w:rFonts w:ascii="Times New Roman" w:cs="Times New Roman" w:eastAsia="Times New Roman" w:hAnsi="Times New Roman"/>
            <w:sz w:val="14"/>
            <w:szCs w:val="14"/>
            <w:color w:val="auto"/>
          </w:rPr>
          <w:t xml:space="preserve">as filed with the SEC on </w:t>
        </w:r>
        <w:r>
          <w:rPr>
            <w:rFonts w:ascii="Times New Roman" w:cs="Times New Roman" w:eastAsia="Times New Roman" w:hAnsi="Times New Roman"/>
            <w:sz w:val="14"/>
            <w:szCs w:val="14"/>
            <w:u w:val="single" w:color="auto"/>
            <w:color w:val="0000FF"/>
          </w:rPr>
          <w:t>April 28, 2026</w:t>
        </w:r>
        <w:r>
          <w:rPr>
            <w:rFonts w:ascii="Times New Roman" w:cs="Times New Roman" w:eastAsia="Times New Roman" w:hAnsi="Times New Roman"/>
            <w:sz w:val="14"/>
            <w:szCs w:val="14"/>
            <w:color w:val="auto"/>
          </w:rPr>
          <w:t xml:space="preserve">, to the extent incorporated by reference into Part III of our Annual Report on </w:t>
        </w:r>
        <w:r>
          <w:rPr>
            <w:rFonts w:ascii="Times New Roman" w:cs="Times New Roman" w:eastAsia="Times New Roman" w:hAnsi="Times New Roman"/>
            <w:sz w:val="14"/>
            <w:szCs w:val="14"/>
            <w:u w:val="single" w:color="auto"/>
            <w:color w:val="0000FF"/>
          </w:rPr>
          <w:t>Form</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FF"/>
          </w:rPr>
          <w:t>10-K</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the fiscal year ended on December 31, 2025;</w:t>
        </w:r>
      </w:hyperlink>
    </w:p>
    <w:p>
      <w:pPr>
        <w:spacing w:after="0" w:line="62" w:lineRule="exact"/>
        <w:rPr>
          <w:rFonts w:ascii="Times New Roman" w:cs="Times New Roman" w:eastAsia="Times New Roman" w:hAnsi="Times New Roman"/>
          <w:sz w:val="14"/>
          <w:szCs w:val="14"/>
          <w:color w:val="0000FF"/>
        </w:rPr>
      </w:pPr>
    </w:p>
    <w:p>
      <w:pPr>
        <w:ind w:left="1440" w:hanging="252"/>
        <w:spacing w:after="0"/>
        <w:tabs>
          <w:tab w:leader="none" w:pos="1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30">
        <w:r>
          <w:rPr>
            <w:rFonts w:ascii="Times New Roman" w:cs="Times New Roman" w:eastAsia="Times New Roman" w:hAnsi="Times New Roman"/>
            <w:sz w:val="14"/>
            <w:szCs w:val="14"/>
            <w:u w:val="single" w:color="auto"/>
            <w:color w:val="0000FF"/>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as filed with the SEC on May 12, 2026;</w:t>
      </w:r>
    </w:p>
    <w:p>
      <w:pPr>
        <w:spacing w:after="0" w:line="82" w:lineRule="exact"/>
        <w:rPr>
          <w:rFonts w:ascii="Times New Roman" w:cs="Times New Roman" w:eastAsia="Times New Roman" w:hAnsi="Times New Roman"/>
          <w:sz w:val="14"/>
          <w:szCs w:val="14"/>
          <w:color w:val="auto"/>
        </w:rPr>
      </w:pPr>
    </w:p>
    <w:p>
      <w:pPr>
        <w:ind w:left="1440" w:right="959" w:hanging="252"/>
        <w:spacing w:after="0" w:line="261" w:lineRule="auto"/>
        <w:tabs>
          <w:tab w:leader="none" w:pos="1440" w:val="left"/>
        </w:tabs>
        <w:numPr>
          <w:ilvl w:val="0"/>
          <w:numId w:val="2"/>
        </w:numPr>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auto"/>
          </w:rPr>
          <w:t xml:space="preserve">Current Reports on Form 8-K, as filed with the SEC on </w:t>
        </w:r>
        <w:r>
          <w:rPr>
            <w:rFonts w:ascii="Times New Roman" w:cs="Times New Roman" w:eastAsia="Times New Roman" w:hAnsi="Times New Roman"/>
            <w:sz w:val="14"/>
            <w:szCs w:val="14"/>
            <w:u w:val="single" w:color="auto"/>
            <w:color w:val="0000FF"/>
          </w:rPr>
          <w:t>January 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March 12,</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FF"/>
          </w:rPr>
          <w:t>2026</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FF"/>
          </w:rPr>
          <w:t xml:space="preserve"> </w:t>
        </w:r>
      </w:hyperlink>
      <w:hyperlink r:id="rId32">
        <w:r>
          <w:rPr>
            <w:rFonts w:ascii="Times New Roman" w:cs="Times New Roman" w:eastAsia="Times New Roman" w:hAnsi="Times New Roman"/>
            <w:sz w:val="14"/>
            <w:szCs w:val="14"/>
            <w:u w:val="single" w:color="auto"/>
            <w:color w:val="0000FF"/>
          </w:rPr>
          <w:t>April 16, 2026</w:t>
        </w:r>
      </w:hyperlink>
      <w:hyperlink r:id="rId31">
        <w:r>
          <w:rPr>
            <w:rFonts w:ascii="Times New Roman" w:cs="Times New Roman" w:eastAsia="Times New Roman" w:hAnsi="Times New Roman"/>
            <w:sz w:val="14"/>
            <w:szCs w:val="14"/>
            <w:color w:val="000000"/>
          </w:rPr>
          <w:t>; and</w:t>
        </w:r>
      </w:hyperlink>
    </w:p>
    <w:p>
      <w:pPr>
        <w:spacing w:after="0" w:line="55" w:lineRule="exact"/>
        <w:rPr>
          <w:rFonts w:ascii="Times New Roman" w:cs="Times New Roman" w:eastAsia="Times New Roman" w:hAnsi="Times New Roman"/>
          <w:sz w:val="14"/>
          <w:szCs w:val="14"/>
          <w:color w:val="0000FF"/>
        </w:rPr>
      </w:pPr>
    </w:p>
    <w:p>
      <w:pPr>
        <w:ind w:left="1440" w:right="939" w:hanging="252"/>
        <w:spacing w:after="0" w:line="302" w:lineRule="auto"/>
        <w:tabs>
          <w:tab w:leader="none" w:pos="1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description of our common stock contained in our Registration Statement on </w:t>
      </w:r>
      <w:hyperlink r:id="rId33">
        <w:r>
          <w:rPr>
            <w:rFonts w:ascii="Times New Roman" w:cs="Times New Roman" w:eastAsia="Times New Roman" w:hAnsi="Times New Roman"/>
            <w:sz w:val="12"/>
            <w:szCs w:val="12"/>
            <w:u w:val="single" w:color="auto"/>
            <w:color w:val="0000FF"/>
          </w:rPr>
          <w:t>Form 8-A</w:t>
        </w:r>
      </w:hyperlink>
      <w:r>
        <w:rPr>
          <w:rFonts w:ascii="Times New Roman" w:cs="Times New Roman" w:eastAsia="Times New Roman" w:hAnsi="Times New Roman"/>
          <w:sz w:val="12"/>
          <w:szCs w:val="12"/>
          <w:color w:val="auto"/>
        </w:rPr>
        <w:t xml:space="preserve">, as filed with the SEC on October 18, 2021, as the description therein has been updated and superseded by the description of our capital stock contained in </w:t>
      </w:r>
      <w:hyperlink r:id="rId34">
        <w:r>
          <w:rPr>
            <w:rFonts w:ascii="Times New Roman" w:cs="Times New Roman" w:eastAsia="Times New Roman" w:hAnsi="Times New Roman"/>
            <w:sz w:val="12"/>
            <w:szCs w:val="12"/>
            <w:u w:val="single" w:color="auto"/>
            <w:color w:val="0000EE"/>
          </w:rPr>
          <w:t>Exhibit 4.4</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to our Annual Report on </w:t>
      </w:r>
      <w:hyperlink r:id="rId29">
        <w:r>
          <w:rPr>
            <w:rFonts w:ascii="Times New Roman" w:cs="Times New Roman" w:eastAsia="Times New Roman" w:hAnsi="Times New Roman"/>
            <w:sz w:val="12"/>
            <w:szCs w:val="12"/>
            <w:u w:val="single" w:color="auto"/>
            <w:color w:val="0000FF"/>
          </w:rPr>
          <w:t>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year ended December 31, 2025, as filed with the SEC on March 23, 2026, and including any amendments or reports filed for the purpose of updating such description.</w:t>
      </w:r>
    </w:p>
    <w:p>
      <w:pPr>
        <w:spacing w:after="0" w:line="116" w:lineRule="exact"/>
        <w:rPr>
          <w:rFonts w:ascii="Times New Roman" w:cs="Times New Roman" w:eastAsia="Times New Roman" w:hAnsi="Times New Roman"/>
          <w:sz w:val="12"/>
          <w:szCs w:val="12"/>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You may request a copy of these filings, at no cost, by writing or telephoning us at the following address or telephone number:</w:t>
      </w:r>
    </w:p>
    <w:p>
      <w:pPr>
        <w:spacing w:after="0" w:line="186"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3"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828 Winter Street, Suite 300</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Waltham, Massachusetts 02451</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Phone: (857) 524-2466</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E-mail: investors@xiliotx.com</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07" w:lineRule="exact"/>
        <w:rPr>
          <w:rFonts w:ascii="Times New Roman" w:cs="Times New Roman" w:eastAsia="Times New Roman" w:hAnsi="Times New Roman"/>
          <w:sz w:val="12"/>
          <w:szCs w:val="12"/>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67" w:lineRule="exact"/>
        <w:rPr>
          <w:sz w:val="20"/>
          <w:szCs w:val="20"/>
          <w:color w:val="auto"/>
        </w:rPr>
      </w:pPr>
    </w:p>
    <w:p>
      <w:pPr>
        <w:ind w:left="860" w:right="939" w:firstLine="331"/>
        <w:spacing w:after="0" w:line="244"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 this prospectus contain certain forward-looking statements within the meaning of Section 27A of the Securities Act of 1933, as amended (the “Securities Act”) and Section 21E of the Exchange Act. All statements, other than statements of historical facts, contained in this prospectus are forward-looking statements. In some cases, you can identify forward-looking statements by words such as “aim,” “anticipate,” “believe,” “contemplate,” “continue,” “could,” “estimate,” “expect,” “intend,” “may,” “might,” “plan,” “potential,” “predict,” “project,” “should,” “target,” “would,” or the negative of these words or other comparable terminology, although not all forward-looking statements contain these identifying words.</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forward-looking statements include, but are not limited to, statements about:</w:t>
      </w:r>
    </w:p>
    <w:p>
      <w:pPr>
        <w:spacing w:after="0" w:line="82" w:lineRule="exact"/>
        <w:rPr>
          <w:sz w:val="20"/>
          <w:szCs w:val="20"/>
          <w:color w:val="auto"/>
        </w:rPr>
      </w:pPr>
    </w:p>
    <w:p>
      <w:pPr>
        <w:ind w:left="1440" w:right="109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research and development programs and preclinical studies and clinical trials;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research, develop and, if approved, subsequently commercialize any product candidates we may develop;</w:t>
      </w:r>
    </w:p>
    <w:p>
      <w:pPr>
        <w:spacing w:after="0" w:line="8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submit applications for, and obtain and, if approved, maintain regulatory approvals for our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 for additional capital;</w:t>
      </w:r>
    </w:p>
    <w:p>
      <w:pPr>
        <w:spacing w:after="0" w:line="82"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fund our operating expenses and capital expenditure requirements with our cash and cash equivalents;</w:t>
      </w:r>
    </w:p>
    <w:p>
      <w:pPr>
        <w:spacing w:after="0" w:line="55"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our current and future product candidates, including our beliefs regarding the potential benefits of our current and future product candidates in combination with other agents;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the addressable patient population and potential market opportunity for our current and future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ability to obtain and maintain intellectual property protection for our product candidates;</w:t>
      </w:r>
    </w:p>
    <w:p>
      <w:pPr>
        <w:spacing w:after="0" w:line="105" w:lineRule="exact"/>
        <w:rPr>
          <w:rFonts w:ascii="Times New Roman" w:cs="Times New Roman" w:eastAsia="Times New Roman" w:hAnsi="Times New Roman"/>
          <w:sz w:val="12"/>
          <w:szCs w:val="12"/>
          <w:color w:val="auto"/>
        </w:rPr>
      </w:pPr>
    </w:p>
    <w:p>
      <w:pPr>
        <w:ind w:left="1440" w:right="91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additional products, product candidates or technologies with significant commercial potential that are consistent with our research, development and commercial objectives;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82" w:lineRule="exact"/>
        <w:rPr>
          <w:rFonts w:ascii="Times New Roman" w:cs="Times New Roman" w:eastAsia="Times New Roman" w:hAnsi="Times New Roman"/>
          <w:sz w:val="14"/>
          <w:szCs w:val="14"/>
          <w:color w:val="auto"/>
        </w:rPr>
      </w:pPr>
    </w:p>
    <w:p>
      <w:pPr>
        <w:ind w:left="1440" w:right="141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and expectations regarding developments and projections relating to our current or future competitors and any competing therapies that are or become available;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or obtain additional funding;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an emerging growth company under the JOBS Act.</w:t>
      </w:r>
    </w:p>
    <w:p>
      <w:pPr>
        <w:spacing w:after="0" w:line="163" w:lineRule="exact"/>
        <w:rPr>
          <w:sz w:val="20"/>
          <w:szCs w:val="20"/>
          <w:color w:val="auto"/>
        </w:rPr>
      </w:pPr>
    </w:p>
    <w:p>
      <w:pPr>
        <w:ind w:left="860" w:right="1039" w:firstLine="331"/>
        <w:spacing w:after="0" w:line="292" w:lineRule="auto"/>
        <w:rPr>
          <w:sz w:val="20"/>
          <w:szCs w:val="20"/>
          <w:color w:val="auto"/>
        </w:rPr>
      </w:pPr>
      <w:r>
        <w:rPr>
          <w:rFonts w:ascii="Times New Roman" w:cs="Times New Roman" w:eastAsia="Times New Roman" w:hAnsi="Times New Roman"/>
          <w:sz w:val="12"/>
          <w:szCs w:val="12"/>
          <w:color w:val="auto"/>
        </w:rPr>
        <w:t>Any forward-looking statements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section of any accompanying prospectus supplement entitled “Risk Factors.”</w:t>
      </w:r>
    </w:p>
    <w:p>
      <w:pPr>
        <w:spacing w:after="0" w:line="284" w:lineRule="exact"/>
        <w:rPr>
          <w:sz w:val="20"/>
          <w:szCs w:val="20"/>
          <w:color w:val="auto"/>
        </w:rPr>
      </w:pPr>
    </w:p>
    <w:p>
      <w:pPr>
        <w:ind w:left="860" w:right="879" w:firstLine="331"/>
        <w:spacing w:after="0" w:line="302" w:lineRule="auto"/>
        <w:rPr>
          <w:sz w:val="20"/>
          <w:szCs w:val="20"/>
          <w:color w:val="auto"/>
        </w:rPr>
      </w:pPr>
      <w:r>
        <w:rPr>
          <w:rFonts w:ascii="Times New Roman" w:cs="Times New Roman" w:eastAsia="Times New Roman" w:hAnsi="Times New Roman"/>
          <w:sz w:val="12"/>
          <w:szCs w:val="12"/>
          <w:color w:val="auto"/>
        </w:rPr>
        <w:t>You should also carefully review the risk factors and cautionary statements described in the other documents we file from time to time with the SEC, specifically our most recent Annual Report on Form 10-K, our Quarterly Reports on Form 10-Q and our Current Reports on Form 8-K, which could cause actual results or events to differ materially from the forward-looking statements that we make. Given these uncertainties, you should not place undue reliance on these forward-looking statements. Our forward-looking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8" w:name="page9"/>
    <w:bookmarkEnd w:id="8"/>
    <w:p>
      <w:pPr>
        <w:ind w:left="860" w:right="1439"/>
        <w:spacing w:after="0" w:line="261" w:lineRule="auto"/>
        <w:rPr>
          <w:sz w:val="20"/>
          <w:szCs w:val="20"/>
          <w:color w:val="auto"/>
        </w:rPr>
      </w:pPr>
      <w:r>
        <w:rPr>
          <w:rFonts w:ascii="Times New Roman" w:cs="Times New Roman" w:eastAsia="Times New Roman" w:hAnsi="Times New Roman"/>
          <w:sz w:val="14"/>
          <w:szCs w:val="14"/>
          <w:color w:val="auto"/>
        </w:rPr>
        <w:t>statements do not reflect the potential impact of any future acquisitions, mergers, dispositions, joint ventures, collaborations, partnerships or investments we may make or enter into.</w:t>
      </w:r>
    </w:p>
    <w:p>
      <w:pPr>
        <w:spacing w:after="0" w:line="13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You should read this prospectus, the documents incorporated by reference in this prospectus and the documents that we have filed as exhibits to the registration statement of which this prospectus is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48" w:lineRule="exact"/>
        <w:rPr>
          <w:sz w:val="20"/>
          <w:szCs w:val="20"/>
          <w:color w:val="auto"/>
        </w:rPr>
      </w:pPr>
    </w:p>
    <w:p>
      <w:pPr>
        <w:ind w:left="860" w:right="879" w:firstLine="331"/>
        <w:spacing w:after="0" w:line="243" w:lineRule="auto"/>
        <w:rPr>
          <w:sz w:val="20"/>
          <w:szCs w:val="20"/>
          <w:color w:val="auto"/>
        </w:rPr>
      </w:pPr>
      <w:r>
        <w:rPr>
          <w:rFonts w:ascii="Times New Roman" w:cs="Times New Roman" w:eastAsia="Times New Roman" w:hAnsi="Times New Roman"/>
          <w:sz w:val="14"/>
          <w:szCs w:val="14"/>
          <w:color w:val="auto"/>
        </w:rPr>
        <w:t>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prospectus and the information incorporated 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XILIO THERAPEUTICS, INC.</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6" w:lineRule="exact"/>
        <w:rPr>
          <w:sz w:val="20"/>
          <w:szCs w:val="20"/>
          <w:color w:val="auto"/>
        </w:rPr>
      </w:pPr>
    </w:p>
    <w:p>
      <w:pPr>
        <w:ind w:left="860" w:right="1039" w:firstLine="331"/>
        <w:spacing w:after="0" w:line="244" w:lineRule="auto"/>
        <w:rPr>
          <w:sz w:val="20"/>
          <w:szCs w:val="20"/>
          <w:color w:val="auto"/>
        </w:rPr>
      </w:pPr>
      <w:r>
        <w:rPr>
          <w:rFonts w:ascii="Times New Roman" w:cs="Times New Roman" w:eastAsia="Times New Roman" w:hAnsi="Times New Roman"/>
          <w:sz w:val="14"/>
          <w:szCs w:val="14"/>
          <w:color w:val="auto"/>
        </w:rPr>
        <w:t>We are a clinical-stage biotechnology company discovering and developing masked immuno-oncology (“I-O”) therapies with the goal of significantly improving outcomes for people living with cancer.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masked multi-specifics, and our clinically-validated masking technology has enabled us to establish top-tier strategic partnerships.</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6"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Our principal executive offices are located at 828 Winter Street, Suite 300, Waltham, Massachusetts 02451, and our telephone number is (857) 524-2466. Our website address is www.xiliotx.com. The information contained on, or accessible through, our website is not incorporated by reference into this prospectus and should not be considered to be a part of this prospectus. We have included our website address in this prospectus solely as an inactive textual reference.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7" w:lineRule="exact"/>
        <w:rPr>
          <w:sz w:val="20"/>
          <w:szCs w:val="20"/>
          <w:color w:val="auto"/>
        </w:rPr>
      </w:pPr>
    </w:p>
    <w:p>
      <w:pPr>
        <w:ind w:left="860" w:right="979" w:firstLine="331"/>
        <w:spacing w:after="0" w:line="289" w:lineRule="auto"/>
        <w:rPr>
          <w:sz w:val="20"/>
          <w:szCs w:val="20"/>
          <w:color w:val="auto"/>
        </w:rPr>
      </w:pPr>
      <w:r>
        <w:rPr>
          <w:rFonts w:ascii="Times New Roman" w:cs="Times New Roman" w:eastAsia="Times New Roman" w:hAnsi="Times New Roman"/>
          <w:sz w:val="12"/>
          <w:szCs w:val="12"/>
          <w:color w:val="auto"/>
        </w:rPr>
        <w:t>Investing in our securities involves significant risk. Prior to making a decision about investing in our securities, you should carefully consider the specific factors discussed under the heading “Risk Factors” contained in the applicable prospectus supplement and in any free-writing prospectus that we authorize for use in connection with an offering, together with all of the other information contained or incorporated by reference in the prospectus supplement or appearing or incorporated by reference in this prospectus, including the risks, uncertainties and assumptions discussed under the heading “Risk Factors” included in our most recent Annual Report on Form 10-K, Quarterly Report on Form 10-Q, or our Current Reports on Form 8-K that we have filed with the SEC,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significantly affect our operations. The occurrence of any of these risks might cause you to lose all or part of your investment in the offered securities.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7"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We intend to use the net proceeds from the sale of any securities offered under this prospectus primarily for general corporate purposes unless otherwise indicated in the applicable prospectus supplement. General corporate purposes may include, without limitation, expenditures for research and development activities, clinical trials, acquisitions or in-licenses of products, product candidates or technologies, acquisitions of complementary companies or businesses, expenditures to build out our development and commercial capabilities, personnel-related expenditures, collaborations,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our management will have broad discretion over the allocation of the net proceeds of any offering.</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7" w:lineRule="exact"/>
        <w:rPr>
          <w:sz w:val="20"/>
          <w:szCs w:val="20"/>
          <w:color w:val="auto"/>
        </w:rPr>
      </w:pPr>
    </w:p>
    <w:p>
      <w:pPr>
        <w:ind w:left="860" w:right="899" w:firstLine="331"/>
        <w:spacing w:after="0" w:line="297" w:lineRule="auto"/>
        <w:rPr>
          <w:sz w:val="20"/>
          <w:szCs w:val="20"/>
          <w:color w:val="auto"/>
        </w:rPr>
      </w:pPr>
      <w:r>
        <w:rPr>
          <w:rFonts w:ascii="Times New Roman" w:cs="Times New Roman" w:eastAsia="Times New Roman" w:hAnsi="Times New Roman"/>
          <w:sz w:val="12"/>
          <w:szCs w:val="12"/>
          <w:color w:val="auto"/>
        </w:rPr>
        <w:t>The following description of our capital stock is intended as a summary only and therefore is not a complete description of our capital stock. This description is based upon, and is qualified by reference to, our restated certificate of incorporation, as amended (the “restated certificate of incorporation”), our second amended and restated bylaws and applicable provisions of Delaware corporate law. You should read our restated certificate of incorporation and second amended and restated bylaws, which are filed as exhibits to the registration statement of which this prospectus forms a part, for the provisions that are important to you.</w:t>
      </w:r>
    </w:p>
    <w:p>
      <w:pPr>
        <w:spacing w:after="0" w:line="119"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Our authorized capital stock consists of 600,000,000 shares of common stock, par value $0.0001 per share, and 5,000,000 shares of preferred stock, par value $0.0001 per share, all of which preferred stock is undesignated. Our common stock is registered under Section 12(b) of the Exchange Act.</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4"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Annual Meeting. </w:t>
      </w:r>
      <w:r>
        <w:rPr>
          <w:rFonts w:ascii="Times New Roman" w:cs="Times New Roman" w:eastAsia="Times New Roman" w:hAnsi="Times New Roman"/>
          <w:sz w:val="14"/>
          <w:szCs w:val="14"/>
          <w:color w:val="auto"/>
        </w:rPr>
        <w:t>Annual meetings of our stockholders are held on the date designated in accordance with our second amended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Except as may be otherwise provided by applicable law, our restated certificate of incorporation or our second amended and restated bylaws, all elections shall be decided by a plurality, and all other questions shall be decided by a majority, of the votes cast by stockholders entitled to vote thereon at a duly held meeting of stockholders at which a quorum is present.</w:t>
      </w:r>
    </w:p>
    <w:p>
      <w:pPr>
        <w:spacing w:after="0" w:line="150"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common stock is entitled to one vote for each share held of record on all matters to be voted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stockholders, including the election of directors. Our restated certificate of incorporation and second amended and restated bylaws do not provide for cumulative voting rights. Except as otherwise provided by law, our restated certificate of incorporation, or our second amended and restated bylaws, in all matters other than the election of directors, the affirmative vote of the majority of the shares present in person or represented by proxy at a meeting at which a quorum is present and entitled to vote on the subject matter shall be the act of the stockholders. Directors shall be elected by a plurality of the shares present in person or represented by proxy at a meeting at which a quorum is present and entitled to vote on the election of directors.</w:t>
      </w:r>
    </w:p>
    <w:p>
      <w:pPr>
        <w:spacing w:after="0" w:line="146" w:lineRule="exact"/>
        <w:rPr>
          <w:sz w:val="20"/>
          <w:szCs w:val="20"/>
          <w:color w:val="auto"/>
        </w:rPr>
      </w:pPr>
    </w:p>
    <w:p>
      <w:pPr>
        <w:ind w:left="860" w:right="89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the rights, powers and preferences of any outstanding preferred stock, and except as provided by law or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restated certificate of incorporation, dividends may be declared and paid or set aside for payment on the common stock out of legally available assets or funds when and as declared by the board of directors. The payment of dividends is contingent upon our revenue and earnings, capital requirements, and general financial condition, as well as contractual restrictions and other considerations deemed to be relevant by our board of directors.</w:t>
      </w:r>
    </w:p>
    <w:p>
      <w:pPr>
        <w:spacing w:after="0" w:line="144" w:lineRule="exact"/>
        <w:rPr>
          <w:sz w:val="20"/>
          <w:szCs w:val="20"/>
          <w:color w:val="auto"/>
        </w:rPr>
      </w:pPr>
    </w:p>
    <w:p>
      <w:pPr>
        <w:jc w:val="both"/>
        <w:ind w:left="860" w:right="99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Liquidation, Dissolution and Winding Up</w:t>
      </w:r>
      <w:r>
        <w:rPr>
          <w:rFonts w:ascii="Times New Roman" w:cs="Times New Roman" w:eastAsia="Times New Roman" w:hAnsi="Times New Roman"/>
          <w:sz w:val="12"/>
          <w:szCs w:val="12"/>
          <w:color w:val="auto"/>
        </w:rPr>
        <w:t>. Subject to the rights, powers and preferences of any outstanding preferred stock,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event of our liquidation, dissolution or winding up, our net assets will be distributed pro rata to the holders of our common stock.</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i w:val="1"/>
          <w:iCs w:val="1"/>
          <w:color w:val="auto"/>
        </w:rPr>
        <w:t>Other Rights</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the common stock have no right to:</w:t>
      </w:r>
    </w:p>
    <w:p>
      <w:pPr>
        <w:spacing w:after="0" w:line="82" w:lineRule="exact"/>
        <w:rPr>
          <w:sz w:val="20"/>
          <w:szCs w:val="20"/>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the stock into any other security;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stock redeemed;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additional stock;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their proportionate ownership interest.</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shares of the common stock are not required to make additional capital contributions.</w:t>
      </w:r>
    </w:p>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Computershare Trust Company, N.A. is transfer agent and registrar for the common stock.</w:t>
      </w:r>
    </w:p>
    <w:p>
      <w:pPr>
        <w:spacing w:after="0" w:line="2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6" w:lineRule="exact"/>
        <w:rPr>
          <w:sz w:val="20"/>
          <w:szCs w:val="20"/>
          <w:color w:val="auto"/>
        </w:rPr>
      </w:pPr>
    </w:p>
    <w:p>
      <w:pPr>
        <w:ind w:left="860" w:right="979" w:firstLine="331"/>
        <w:spacing w:after="0" w:line="345" w:lineRule="auto"/>
        <w:rPr>
          <w:sz w:val="20"/>
          <w:szCs w:val="20"/>
          <w:color w:val="auto"/>
        </w:rPr>
      </w:pPr>
      <w:r>
        <w:rPr>
          <w:rFonts w:ascii="Times New Roman" w:cs="Times New Roman" w:eastAsia="Times New Roman" w:hAnsi="Times New Roman"/>
          <w:sz w:val="12"/>
          <w:szCs w:val="12"/>
          <w:color w:val="auto"/>
        </w:rPr>
        <w:t>We are authorized to issue “blank check” preferred stock, which may be issued in one or more series upon authorization of our board of directors. Our board of directors is authorized to fix the designations, powers, preferences and the relative, participating,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3" w:name="page14"/>
    <w:bookmarkEnd w:id="13"/>
    <w:p>
      <w:pPr>
        <w:ind w:left="860" w:right="1019"/>
        <w:spacing w:after="0" w:line="245" w:lineRule="auto"/>
        <w:rPr>
          <w:sz w:val="20"/>
          <w:szCs w:val="20"/>
          <w:color w:val="auto"/>
        </w:rPr>
      </w:pPr>
      <w:r>
        <w:rPr>
          <w:rFonts w:ascii="Times New Roman" w:cs="Times New Roman" w:eastAsia="Times New Roman" w:hAnsi="Times New Roman"/>
          <w:sz w:val="14"/>
          <w:szCs w:val="14"/>
          <w:color w:val="auto"/>
        </w:rPr>
        <w:t>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49" w:lineRule="exact"/>
        <w:rPr>
          <w:sz w:val="20"/>
          <w:szCs w:val="20"/>
          <w:color w:val="auto"/>
        </w:rPr>
      </w:pPr>
    </w:p>
    <w:p>
      <w:pPr>
        <w:ind w:left="860" w:right="919" w:firstLine="331"/>
        <w:spacing w:after="0" w:line="245" w:lineRule="auto"/>
        <w:rPr>
          <w:sz w:val="20"/>
          <w:szCs w:val="20"/>
          <w:color w:val="auto"/>
        </w:rPr>
      </w:pPr>
      <w:r>
        <w:rPr>
          <w:rFonts w:ascii="Times New Roman" w:cs="Times New Roman" w:eastAsia="Times New Roman" w:hAnsi="Times New Roman"/>
          <w:sz w:val="14"/>
          <w:szCs w:val="14"/>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49"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62" w:lineRule="exact"/>
        <w:rPr>
          <w:sz w:val="20"/>
          <w:szCs w:val="20"/>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stated value per share of the preferred stock and the number of shares offered;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liquidation preference per share;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preferred stock will be issued;</w:t>
      </w:r>
    </w:p>
    <w:p>
      <w:pPr>
        <w:spacing w:after="0" w:line="82" w:lineRule="exact"/>
        <w:rPr>
          <w:rFonts w:ascii="Times New Roman" w:cs="Times New Roman" w:eastAsia="Times New Roman" w:hAnsi="Times New Roman"/>
          <w:sz w:val="14"/>
          <w:szCs w:val="14"/>
          <w:color w:val="auto"/>
        </w:rPr>
      </w:pPr>
    </w:p>
    <w:p>
      <w:pPr>
        <w:ind w:left="1440" w:right="1039" w:hanging="252"/>
        <w:spacing w:after="0" w:line="345" w:lineRule="auto"/>
        <w:tabs>
          <w:tab w:leader="none" w:pos="14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8"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w:t>
      </w:r>
    </w:p>
    <w:p>
      <w:pPr>
        <w:spacing w:after="0" w:line="82" w:lineRule="exact"/>
        <w:rPr>
          <w:rFonts w:ascii="Times New Roman" w:cs="Times New Roman" w:eastAsia="Times New Roman" w:hAnsi="Times New Roman"/>
          <w:sz w:val="14"/>
          <w:szCs w:val="14"/>
          <w:color w:val="auto"/>
        </w:rPr>
      </w:pPr>
    </w:p>
    <w:p>
      <w:pPr>
        <w:ind w:left="1440" w:right="1219" w:hanging="252"/>
        <w:spacing w:after="0" w:line="261" w:lineRule="auto"/>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the currency or currencies including composite currencies in which the preferred stock is denominated and/or in which payments will or may be payable;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provisions;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rights, preferences, privileges, limitations and restrictions on the preferred stock.</w:t>
      </w:r>
    </w:p>
    <w:p>
      <w:pPr>
        <w:spacing w:after="0" w:line="163" w:lineRule="exact"/>
        <w:rPr>
          <w:sz w:val="20"/>
          <w:szCs w:val="20"/>
          <w:color w:val="auto"/>
        </w:rPr>
      </w:pPr>
    </w:p>
    <w:p>
      <w:pPr>
        <w:ind w:left="860" w:right="879" w:firstLine="331"/>
        <w:spacing w:after="0" w:line="313" w:lineRule="auto"/>
        <w:rPr>
          <w:sz w:val="20"/>
          <w:szCs w:val="20"/>
          <w:color w:val="auto"/>
        </w:rPr>
      </w:pPr>
      <w:r>
        <w:rPr>
          <w:rFonts w:ascii="Times New Roman" w:cs="Times New Roman" w:eastAsia="Times New Roman" w:hAnsi="Times New Roman"/>
          <w:sz w:val="12"/>
          <w:szCs w:val="12"/>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06" w:lineRule="exact"/>
        <w:rPr>
          <w:sz w:val="20"/>
          <w:szCs w:val="20"/>
          <w:color w:val="auto"/>
        </w:rPr>
      </w:pPr>
    </w:p>
    <w:p>
      <w:pPr>
        <w:ind w:left="860" w:right="11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Rank</w:t>
      </w:r>
      <w:r>
        <w:rPr>
          <w:rFonts w:ascii="Times New Roman" w:cs="Times New Roman" w:eastAsia="Times New Roman" w:hAnsi="Times New Roman"/>
          <w:sz w:val="14"/>
          <w:szCs w:val="14"/>
          <w:color w:val="auto"/>
        </w:rPr>
        <w:t>. Unless otherwise specified in the prospectus supplement, the preferred stock will, with respect to dividend rights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upon our liquidation, dissolution or winding up of our affairs, rank:</w:t>
      </w:r>
    </w:p>
    <w:p>
      <w:pPr>
        <w:spacing w:after="0" w:line="53" w:lineRule="exact"/>
        <w:rPr>
          <w:sz w:val="20"/>
          <w:szCs w:val="20"/>
          <w:color w:val="auto"/>
        </w:rPr>
      </w:pPr>
    </w:p>
    <w:p>
      <w:pPr>
        <w:ind w:left="1440" w:right="879" w:hanging="252"/>
        <w:spacing w:after="0" w:line="261"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our common stock and to all equity securities ranking junior to such preferred stock with respect to dividend rights or rights upon our liquidation, dissolution or winding up of our affairs;</w:t>
      </w:r>
    </w:p>
    <w:p>
      <w:pPr>
        <w:spacing w:after="0" w:line="55" w:lineRule="exact"/>
        <w:rPr>
          <w:rFonts w:ascii="Times New Roman" w:cs="Times New Roman" w:eastAsia="Times New Roman" w:hAnsi="Times New Roman"/>
          <w:sz w:val="14"/>
          <w:szCs w:val="14"/>
          <w:color w:val="auto"/>
        </w:rPr>
      </w:pPr>
    </w:p>
    <w:p>
      <w:pPr>
        <w:ind w:left="1440" w:right="899" w:hanging="252"/>
        <w:spacing w:after="0" w:line="251"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2" w:lineRule="exact"/>
        <w:rPr>
          <w:rFonts w:ascii="Times New Roman" w:cs="Times New Roman" w:eastAsia="Times New Roman" w:hAnsi="Times New Roman"/>
          <w:sz w:val="14"/>
          <w:szCs w:val="14"/>
          <w:color w:val="auto"/>
        </w:rPr>
      </w:pPr>
    </w:p>
    <w:p>
      <w:pPr>
        <w:ind w:left="1440" w:right="959" w:hanging="252"/>
        <w:spacing w:after="0" w:line="345" w:lineRule="auto"/>
        <w:tabs>
          <w:tab w:leader="none" w:pos="1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9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term “equity securities” does not include convertible debt securities.</w:t>
      </w:r>
    </w:p>
    <w:p>
      <w:pPr>
        <w:spacing w:after="0" w:line="161" w:lineRule="exact"/>
        <w:rPr>
          <w:sz w:val="20"/>
          <w:szCs w:val="20"/>
          <w:color w:val="auto"/>
        </w:rPr>
      </w:pPr>
    </w:p>
    <w:p>
      <w:pPr>
        <w:ind w:left="860" w:right="91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Holders of preferred stock of each series will be entitled to receive, when, as and if declared by our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14" w:name="page15"/>
    <w:bookmarkEnd w:id="14"/>
    <w:p>
      <w:pPr>
        <w:ind w:left="860" w:right="959" w:firstLine="331"/>
        <w:spacing w:after="0" w:line="294" w:lineRule="auto"/>
        <w:rPr>
          <w:sz w:val="20"/>
          <w:szCs w:val="20"/>
          <w:color w:val="auto"/>
        </w:rPr>
      </w:pPr>
      <w:r>
        <w:rPr>
          <w:rFonts w:ascii="Times New Roman" w:cs="Times New Roman" w:eastAsia="Times New Roman" w:hAnsi="Times New Roman"/>
          <w:sz w:val="12"/>
          <w:szCs w:val="12"/>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20" w:lineRule="exact"/>
        <w:rPr>
          <w:sz w:val="20"/>
          <w:szCs w:val="20"/>
          <w:color w:val="auto"/>
        </w:rPr>
      </w:pPr>
    </w:p>
    <w:p>
      <w:pPr>
        <w:ind w:left="860" w:right="999" w:firstLine="331"/>
        <w:spacing w:after="0" w:line="251" w:lineRule="auto"/>
        <w:rPr>
          <w:sz w:val="20"/>
          <w:szCs w:val="20"/>
          <w:color w:val="auto"/>
        </w:rPr>
      </w:pPr>
      <w:r>
        <w:rPr>
          <w:rFonts w:ascii="Times New Roman" w:cs="Times New Roman" w:eastAsia="Times New Roman" w:hAnsi="Times New Roman"/>
          <w:sz w:val="14"/>
          <w:szCs w:val="14"/>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3" w:lineRule="exact"/>
        <w:rPr>
          <w:sz w:val="20"/>
          <w:szCs w:val="20"/>
          <w:color w:val="auto"/>
        </w:rPr>
      </w:pPr>
    </w:p>
    <w:p>
      <w:pPr>
        <w:ind w:left="860" w:right="899" w:firstLine="331"/>
        <w:spacing w:after="0" w:line="251" w:lineRule="auto"/>
        <w:rPr>
          <w:sz w:val="20"/>
          <w:szCs w:val="20"/>
          <w:color w:val="auto"/>
        </w:rPr>
      </w:pPr>
      <w:r>
        <w:rPr>
          <w:rFonts w:ascii="Times New Roman" w:cs="Times New Roman" w:eastAsia="Times New Roman" w:hAnsi="Times New Roman"/>
          <w:sz w:val="14"/>
          <w:szCs w:val="14"/>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41" w:lineRule="exact"/>
        <w:rPr>
          <w:sz w:val="20"/>
          <w:szCs w:val="20"/>
          <w:color w:val="auto"/>
        </w:rPr>
      </w:pPr>
    </w:p>
    <w:p>
      <w:pPr>
        <w:ind w:left="860" w:right="879" w:firstLine="331"/>
        <w:spacing w:after="0" w:line="243" w:lineRule="auto"/>
        <w:rPr>
          <w:sz w:val="20"/>
          <w:szCs w:val="20"/>
          <w:color w:val="auto"/>
        </w:rPr>
      </w:pPr>
      <w:r>
        <w:rPr>
          <w:rFonts w:ascii="Times New Roman" w:cs="Times New Roman" w:eastAsia="Times New Roman" w:hAnsi="Times New Roman"/>
          <w:sz w:val="14"/>
          <w:szCs w:val="14"/>
          <w:i w:val="1"/>
          <w:iCs w:val="1"/>
          <w:color w:val="auto"/>
        </w:rPr>
        <w:t>Liquidation Preference</w:t>
      </w:r>
      <w:r>
        <w:rPr>
          <w:rFonts w:ascii="Times New Roman" w:cs="Times New Roman" w:eastAsia="Times New Roman" w:hAnsi="Times New Roman"/>
          <w:sz w:val="14"/>
          <w:szCs w:val="14"/>
          <w:color w:val="auto"/>
        </w:rPr>
        <w:t>. Upon any voluntary or involuntary liquidation, dissolution or winding up of our affairs, then, before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51"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47" w:lineRule="exact"/>
        <w:rPr>
          <w:sz w:val="20"/>
          <w:szCs w:val="20"/>
          <w:color w:val="auto"/>
        </w:rPr>
      </w:pPr>
    </w:p>
    <w:p>
      <w:pPr>
        <w:ind w:left="860" w:right="85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If so provided in the applicable prospectus supplement, the preferred stock will be subject to mandatory redemption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redemption at our option, as a whole or in part, in each case upon the terms, at the times and at the redemption prices set forth in such prospectus supplement.</w:t>
      </w:r>
    </w:p>
    <w:p>
      <w:pPr>
        <w:spacing w:after="0" w:line="141" w:lineRule="exact"/>
        <w:rPr>
          <w:sz w:val="20"/>
          <w:szCs w:val="20"/>
          <w:color w:val="auto"/>
        </w:rPr>
      </w:pPr>
    </w:p>
    <w:p>
      <w:pPr>
        <w:ind w:left="860" w:right="899" w:firstLine="331"/>
        <w:spacing w:after="0" w:line="243" w:lineRule="auto"/>
        <w:rPr>
          <w:sz w:val="20"/>
          <w:szCs w:val="20"/>
          <w:color w:val="auto"/>
        </w:rPr>
      </w:pPr>
      <w:r>
        <w:rPr>
          <w:rFonts w:ascii="Times New Roman" w:cs="Times New Roman" w:eastAsia="Times New Roman" w:hAnsi="Times New Roman"/>
          <w:sz w:val="14"/>
          <w:szCs w:val="14"/>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Notwithstanding the foregoing, we will not redeem any preferred stock of a series unless:</w:t>
      </w:r>
    </w:p>
    <w:p>
      <w:pPr>
        <w:spacing w:after="0" w:line="82" w:lineRule="exact"/>
        <w:rPr>
          <w:sz w:val="20"/>
          <w:szCs w:val="20"/>
          <w:color w:val="auto"/>
        </w:rPr>
      </w:pPr>
    </w:p>
    <w:p>
      <w:pPr>
        <w:ind w:left="1440" w:right="879" w:hanging="252"/>
        <w:spacing w:after="0" w:line="251"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15" w:name="page16"/>
    <w:bookmarkEnd w:id="15"/>
    <w:p>
      <w:pPr>
        <w:ind w:left="1440" w:right="1139" w:hanging="252"/>
        <w:spacing w:after="0" w:line="261"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series of preferred stock does not have a cumulative dividend, we have declared and paid or contemporaneously declare and pay or set aside funds to pay full dividends for the then current dividend period.</w:t>
      </w:r>
    </w:p>
    <w:p>
      <w:pPr>
        <w:spacing w:after="0" w:line="1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In addition, we will not acquire any preferred stock of a series unless:</w:t>
      </w:r>
    </w:p>
    <w:p>
      <w:pPr>
        <w:spacing w:after="0" w:line="82" w:lineRule="exact"/>
        <w:rPr>
          <w:sz w:val="20"/>
          <w:szCs w:val="20"/>
          <w:color w:val="auto"/>
        </w:rPr>
      </w:pPr>
    </w:p>
    <w:p>
      <w:pPr>
        <w:ind w:left="1440" w:right="879" w:hanging="252"/>
        <w:spacing w:after="0" w:line="25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62" w:lineRule="exact"/>
        <w:rPr>
          <w:rFonts w:ascii="Times New Roman" w:cs="Times New Roman" w:eastAsia="Times New Roman" w:hAnsi="Times New Roman"/>
          <w:sz w:val="14"/>
          <w:szCs w:val="14"/>
          <w:color w:val="auto"/>
        </w:rPr>
      </w:pPr>
    </w:p>
    <w:p>
      <w:pPr>
        <w:ind w:left="1440" w:right="1059" w:hanging="252"/>
        <w:spacing w:after="0" w:line="25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3" w:lineRule="exact"/>
        <w:rPr>
          <w:sz w:val="20"/>
          <w:szCs w:val="20"/>
          <w:color w:val="auto"/>
        </w:rPr>
      </w:pPr>
    </w:p>
    <w:p>
      <w:pPr>
        <w:ind w:left="860" w:right="919" w:firstLine="331"/>
        <w:spacing w:after="0" w:line="251" w:lineRule="auto"/>
        <w:rPr>
          <w:sz w:val="20"/>
          <w:szCs w:val="20"/>
          <w:color w:val="auto"/>
        </w:rPr>
      </w:pPr>
      <w:r>
        <w:rPr>
          <w:rFonts w:ascii="Times New Roman" w:cs="Times New Roman" w:eastAsia="Times New Roman" w:hAnsi="Times New Roman"/>
          <w:sz w:val="14"/>
          <w:szCs w:val="14"/>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43" w:lineRule="exact"/>
        <w:rPr>
          <w:sz w:val="20"/>
          <w:szCs w:val="20"/>
          <w:color w:val="auto"/>
        </w:rPr>
      </w:pPr>
    </w:p>
    <w:p>
      <w:pPr>
        <w:ind w:left="860" w:right="979" w:firstLine="331"/>
        <w:spacing w:after="0" w:line="248" w:lineRule="auto"/>
        <w:rPr>
          <w:sz w:val="20"/>
          <w:szCs w:val="20"/>
          <w:color w:val="auto"/>
        </w:rPr>
      </w:pPr>
      <w:r>
        <w:rPr>
          <w:rFonts w:ascii="Times New Roman" w:cs="Times New Roman" w:eastAsia="Times New Roman" w:hAnsi="Times New Roman"/>
          <w:sz w:val="14"/>
          <w:szCs w:val="14"/>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5" w:lineRule="exact"/>
        <w:rPr>
          <w:sz w:val="20"/>
          <w:szCs w:val="20"/>
          <w:color w:val="auto"/>
        </w:rPr>
      </w:pPr>
    </w:p>
    <w:p>
      <w:pPr>
        <w:ind w:left="860" w:right="1019" w:firstLine="331"/>
        <w:spacing w:after="0" w:line="251" w:lineRule="auto"/>
        <w:rPr>
          <w:sz w:val="20"/>
          <w:szCs w:val="20"/>
          <w:color w:val="auto"/>
        </w:rPr>
      </w:pPr>
      <w:r>
        <w:rPr>
          <w:rFonts w:ascii="Times New Roman" w:cs="Times New Roman" w:eastAsia="Times New Roman" w:hAnsi="Times New Roman"/>
          <w:sz w:val="14"/>
          <w:szCs w:val="14"/>
          <w:color w:val="auto"/>
        </w:rPr>
        <w:t>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w:t>
      </w:r>
    </w:p>
    <w:p>
      <w:pPr>
        <w:spacing w:after="0" w:line="62" w:lineRule="exact"/>
        <w:rPr>
          <w:sz w:val="20"/>
          <w:szCs w:val="20"/>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and series of preferred stock to be redeemed;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 or places where certificates for such preferred stock are to be surrendered for payment of the redemption price;</w:t>
      </w:r>
    </w:p>
    <w:p>
      <w:pPr>
        <w:spacing w:after="0" w:line="105"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dividends on the shares to be redeemed will cease to accrue on such redemption date;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holder’s conversion rights, if any, as to such shares shall terminate; and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number of shares to be redeemed from each such holder if fewer than all the shares of any series are to be redeemed.</w:t>
      </w:r>
    </w:p>
    <w:p>
      <w:pPr>
        <w:spacing w:after="0" w:line="136"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41" w:lineRule="exact"/>
        <w:rPr>
          <w:sz w:val="20"/>
          <w:szCs w:val="20"/>
          <w:color w:val="auto"/>
        </w:rPr>
      </w:pPr>
    </w:p>
    <w:p>
      <w:pPr>
        <w:ind w:left="860" w:right="131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preferred stock will not have any voting rights, except as required by law or as indicated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prospectus supplement.</w:t>
      </w:r>
    </w:p>
    <w:p>
      <w:pPr>
        <w:spacing w:after="0" w:line="134" w:lineRule="exact"/>
        <w:rPr>
          <w:sz w:val="20"/>
          <w:szCs w:val="20"/>
          <w:color w:val="auto"/>
        </w:rPr>
      </w:pPr>
    </w:p>
    <w:p>
      <w:pPr>
        <w:ind w:left="860" w:right="979" w:firstLine="331"/>
        <w:spacing w:after="0" w:line="246" w:lineRule="auto"/>
        <w:rPr>
          <w:sz w:val="20"/>
          <w:szCs w:val="20"/>
          <w:color w:val="auto"/>
        </w:rPr>
      </w:pPr>
      <w:r>
        <w:rPr>
          <w:rFonts w:ascii="Times New Roman" w:cs="Times New Roman" w:eastAsia="Times New Roman" w:hAnsi="Times New Roman"/>
          <w:sz w:val="14"/>
          <w:szCs w:val="14"/>
          <w:color w:val="auto"/>
        </w:rPr>
        <w:t>Unless otherwise provided for under the terms of any series of preferred stock, no consent or vote of the holders of shares of preferred stock or any series thereof shall be required for any amendment to our restated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46" w:lineRule="exact"/>
        <w:rPr>
          <w:sz w:val="20"/>
          <w:szCs w:val="20"/>
          <w:color w:val="auto"/>
        </w:rPr>
      </w:pPr>
    </w:p>
    <w:p>
      <w:pPr>
        <w:ind w:left="860" w:right="919" w:firstLine="331"/>
        <w:spacing w:after="0" w:line="298" w:lineRule="auto"/>
        <w:rPr>
          <w:sz w:val="20"/>
          <w:szCs w:val="20"/>
          <w:color w:val="auto"/>
        </w:rPr>
      </w:pPr>
      <w:r>
        <w:rPr>
          <w:rFonts w:ascii="Times New Roman" w:cs="Times New Roman" w:eastAsia="Times New Roman" w:hAnsi="Times New Roman"/>
          <w:sz w:val="12"/>
          <w:szCs w:val="12"/>
          <w:i w:val="1"/>
          <w:iCs w:val="1"/>
          <w:color w:val="auto"/>
        </w:rPr>
        <w:t>Conversion Rights</w:t>
      </w:r>
      <w:r>
        <w:rPr>
          <w:rFonts w:ascii="Times New Roman" w:cs="Times New Roman" w:eastAsia="Times New Roman" w:hAnsi="Times New Roman"/>
          <w:sz w:val="12"/>
          <w:szCs w:val="12"/>
          <w:color w:val="auto"/>
        </w:rPr>
        <w:t>. The terms and conditions, if any, upon which any series of preferred stock is convertible into shares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16" w:lineRule="exact"/>
        <w:rPr>
          <w:sz w:val="20"/>
          <w:szCs w:val="20"/>
          <w:color w:val="auto"/>
        </w:rPr>
      </w:pPr>
    </w:p>
    <w:p>
      <w:pPr>
        <w:ind w:left="860" w:right="141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The transfer agent and registrar for the preferred stock will be set forth in the applicable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supplement.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16" w:name="page17"/>
    <w:bookmarkEnd w:id="16"/>
    <w:p>
      <w:pPr>
        <w:ind w:left="860" w:right="1019"/>
        <w:spacing w:after="0" w:line="267" w:lineRule="auto"/>
        <w:rPr>
          <w:sz w:val="20"/>
          <w:szCs w:val="20"/>
          <w:color w:val="auto"/>
        </w:rPr>
      </w:pPr>
      <w:r>
        <w:rPr>
          <w:rFonts w:ascii="Times New Roman" w:cs="Times New Roman" w:eastAsia="Times New Roman" w:hAnsi="Times New Roman"/>
          <w:sz w:val="14"/>
          <w:szCs w:val="14"/>
          <w:b w:val="1"/>
          <w:bCs w:val="1"/>
          <w:color w:val="auto"/>
        </w:rPr>
        <w:t>Provisions of Our Restated Certificate of Incorporation and Second Amended and Restated Bylaws and Delaware Law That May Have Anti-Takeover Effects</w:t>
      </w:r>
    </w:p>
    <w:p>
      <w:pPr>
        <w:spacing w:after="0" w:line="51"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Certain provisions of our restated certificate of incorporation and second amended and restated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46" w:lineRule="exact"/>
        <w:rPr>
          <w:sz w:val="20"/>
          <w:szCs w:val="20"/>
          <w:color w:val="auto"/>
        </w:rPr>
      </w:pPr>
    </w:p>
    <w:p>
      <w:pPr>
        <w:ind w:left="860" w:right="103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No Cumulative Voting. </w:t>
      </w:r>
      <w:r>
        <w:rPr>
          <w:rFonts w:ascii="Times New Roman" w:cs="Times New Roman" w:eastAsia="Times New Roman" w:hAnsi="Times New Roman"/>
          <w:sz w:val="14"/>
          <w:szCs w:val="14"/>
          <w:color w:val="auto"/>
        </w:rPr>
        <w:t>The Delaware General Corporation Law (“DGCL”) provides that stockholders are not entitled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 to accumulate votes in the election of directors unless our restated certificate of incorporation provides otherwise. Our restated certificate of incorporation does not provide for cumulative voting.</w:t>
      </w:r>
    </w:p>
    <w:p>
      <w:pPr>
        <w:spacing w:after="0" w:line="139" w:lineRule="exact"/>
        <w:rPr>
          <w:sz w:val="20"/>
          <w:szCs w:val="20"/>
          <w:color w:val="auto"/>
        </w:rPr>
      </w:pPr>
    </w:p>
    <w:p>
      <w:pPr>
        <w:ind w:left="860" w:right="93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Our restated certificate of incorporation provides for a board of directors divided as nearly equally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possible into three classes. Each class is elected to a term expiring at the annual meeting of stockholders held in the third year following the year of such election. The number of directors comprising our board of directors is fixed from time to time by the board of directors.</w:t>
      </w:r>
    </w:p>
    <w:p>
      <w:pPr>
        <w:spacing w:after="0" w:line="142" w:lineRule="exact"/>
        <w:rPr>
          <w:sz w:val="20"/>
          <w:szCs w:val="20"/>
          <w:color w:val="auto"/>
        </w:rPr>
      </w:pPr>
    </w:p>
    <w:p>
      <w:pPr>
        <w:ind w:left="860" w:right="93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Removal of Directors by Stockholders</w:t>
      </w:r>
      <w:r>
        <w:rPr>
          <w:rFonts w:ascii="Times New Roman" w:cs="Times New Roman" w:eastAsia="Times New Roman" w:hAnsi="Times New Roman"/>
          <w:sz w:val="12"/>
          <w:szCs w:val="12"/>
          <w:color w:val="auto"/>
        </w:rPr>
        <w:t>. Delaware law provides that members of our board of directors may only be removed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cause by a vote of the holders of at least 75% of the outstanding shares entitled to vote on the election of the directors.</w:t>
      </w:r>
    </w:p>
    <w:p>
      <w:pPr>
        <w:spacing w:after="0" w:line="86" w:lineRule="exact"/>
        <w:rPr>
          <w:sz w:val="20"/>
          <w:szCs w:val="20"/>
          <w:color w:val="auto"/>
        </w:rPr>
      </w:pPr>
    </w:p>
    <w:p>
      <w:pPr>
        <w:ind w:left="860" w:right="99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Vacancies Filled Only by Majority of Directors Then in Office</w:t>
      </w:r>
      <w:r>
        <w:rPr>
          <w:rFonts w:ascii="Times New Roman" w:cs="Times New Roman" w:eastAsia="Times New Roman" w:hAnsi="Times New Roman"/>
          <w:sz w:val="14"/>
          <w:szCs w:val="14"/>
          <w:color w:val="auto"/>
        </w:rPr>
        <w:t>. Vacancies and newly created seats on our board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filled only by our board of directors. Further, only our board of directors may determine the number of directors on our board. The inability of stockholders to determine the number of directors or to fill vacancies or newly created seats on the board makes it more difficult to change the composition of our board of directors.</w:t>
      </w:r>
    </w:p>
    <w:p>
      <w:pPr>
        <w:spacing w:after="0" w:line="142" w:lineRule="exact"/>
        <w:rPr>
          <w:sz w:val="20"/>
          <w:szCs w:val="20"/>
          <w:color w:val="auto"/>
        </w:rPr>
      </w:pPr>
    </w:p>
    <w:p>
      <w:pPr>
        <w:ind w:left="860" w:right="93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Stockholder Nomination of Directors</w:t>
      </w:r>
      <w:r>
        <w:rPr>
          <w:rFonts w:ascii="Times New Roman" w:cs="Times New Roman" w:eastAsia="Times New Roman" w:hAnsi="Times New Roman"/>
          <w:sz w:val="14"/>
          <w:szCs w:val="14"/>
          <w:color w:val="auto"/>
        </w:rPr>
        <w:t>. Our second amended and restated bylaws provide that a stockholder must notify us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writing of any stockholder nomination of a director not earlier than the 120th day and not later than the 90th day prior to the first anniversary of the preceding year’s annual meeting; provided, that if the date of the annual meeting is advanced by more than 30 days or delayed by more than 60 days from such anniversary date, notice by the stockholder to be timely must be so delivered not earlier than the 120th day prior to the date of such annual meeting and not later than the later of (x) the 90th day prior to the date of such annual meeting and (y) the 10th day following the day on which notice of the date of such annual meeting was given or public announcement of the date of such annual meeting is first made by us, whichever first occurs.</w:t>
      </w:r>
    </w:p>
    <w:p>
      <w:pPr>
        <w:spacing w:after="0" w:line="146" w:lineRule="exact"/>
        <w:rPr>
          <w:sz w:val="20"/>
          <w:szCs w:val="20"/>
          <w:color w:val="auto"/>
        </w:rPr>
      </w:pPr>
    </w:p>
    <w:p>
      <w:pPr>
        <w:ind w:left="860" w:right="10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No Action By Written Consent</w:t>
      </w:r>
      <w:r>
        <w:rPr>
          <w:rFonts w:ascii="Times New Roman" w:cs="Times New Roman" w:eastAsia="Times New Roman" w:hAnsi="Times New Roman"/>
          <w:sz w:val="14"/>
          <w:szCs w:val="14"/>
          <w:color w:val="auto"/>
        </w:rPr>
        <w:t>. Our restated certificate of incorporation provides that our stockholders may not act by written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consent and may only act at duly called meetings of stockholders.</w:t>
      </w:r>
    </w:p>
    <w:p>
      <w:pPr>
        <w:spacing w:after="0" w:line="132" w:lineRule="exact"/>
        <w:rPr>
          <w:sz w:val="20"/>
          <w:szCs w:val="20"/>
          <w:color w:val="auto"/>
        </w:rPr>
      </w:pPr>
    </w:p>
    <w:p>
      <w:pPr>
        <w:jc w:val="both"/>
        <w:ind w:left="860" w:right="89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Undesignated Preferred Stock. </w:t>
      </w:r>
      <w:r>
        <w:rPr>
          <w:rFonts w:ascii="Times New Roman" w:cs="Times New Roman" w:eastAsia="Times New Roman" w:hAnsi="Times New Roman"/>
          <w:sz w:val="14"/>
          <w:szCs w:val="14"/>
          <w:color w:val="auto"/>
        </w:rPr>
        <w:t>As discussed above, our board of directors has the ability to issue preferred stock with voting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rights or preferences that could impede the success of any attempt to change control of our company. These and other provisions may have the effect of deferring hostile takeovers or delaying changes in control or management of us.</w:t>
      </w:r>
    </w:p>
    <w:p>
      <w:pPr>
        <w:spacing w:after="0" w:line="141"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These provisions of Delaware law, our restated certificate of incorporation and our second amended and restated bylaws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48" w:lineRule="exact"/>
        <w:rPr>
          <w:sz w:val="20"/>
          <w:szCs w:val="20"/>
          <w:color w:val="auto"/>
        </w:rPr>
      </w:pPr>
    </w:p>
    <w:p>
      <w:pPr>
        <w:ind w:left="860" w:right="899" w:firstLine="331"/>
        <w:spacing w:after="0" w:line="291" w:lineRule="auto"/>
        <w:rPr>
          <w:sz w:val="20"/>
          <w:szCs w:val="20"/>
          <w:color w:val="auto"/>
        </w:rPr>
      </w:pPr>
      <w:r>
        <w:rPr>
          <w:rFonts w:ascii="Times New Roman" w:cs="Times New Roman" w:eastAsia="Times New Roman" w:hAnsi="Times New Roman"/>
          <w:sz w:val="12"/>
          <w:szCs w:val="12"/>
          <w:i w:val="1"/>
          <w:iCs w:val="1"/>
          <w:color w:val="auto"/>
        </w:rPr>
        <w:t>Exclusive Forum Selection</w:t>
      </w:r>
      <w:r>
        <w:rPr>
          <w:rFonts w:ascii="Times New Roman" w:cs="Times New Roman" w:eastAsia="Times New Roman" w:hAnsi="Times New Roman"/>
          <w:sz w:val="12"/>
          <w:szCs w:val="12"/>
          <w:color w:val="auto"/>
        </w:rPr>
        <w:t>. Our restated certificate of incorporation provides that, unless we consent in writing to the selection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restated certificate of incorporation or second amended or restated bylaws (in each case, as they may be amended from time to time) or governed by the internal affairs doctrine. This choice of forum provision will not apply to actions arising under the Securities Act, the Exchange Act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17" w:name="page18"/>
    <w:bookmarkEnd w:id="17"/>
    <w:p>
      <w:pPr>
        <w:ind w:left="860" w:right="919"/>
        <w:spacing w:after="0" w:line="246" w:lineRule="auto"/>
        <w:rPr>
          <w:sz w:val="20"/>
          <w:szCs w:val="20"/>
          <w:color w:val="auto"/>
        </w:rPr>
      </w:pPr>
      <w:r>
        <w:rPr>
          <w:rFonts w:ascii="Times New Roman" w:cs="Times New Roman" w:eastAsia="Times New Roman" w:hAnsi="Times New Roman"/>
          <w:sz w:val="14"/>
          <w:szCs w:val="14"/>
          <w:color w:val="auto"/>
        </w:rPr>
        <w:t>any other claim for which the federal courts have exclusive jurisdiction. Unless we consent in writing to the selection of an alternative forum, the federal district courts of the United States of America shall, to the fullest extent permitted by law, be the sole and exclusive forum for the resolution of any claims arising under the Securities Act. Although our restated certificate of incorporation contains the choice of forum provisions described above, it is possible that a court could rule that such a provision is inapplicable for a particular claim or action or that such provision is unenforceable.</w:t>
      </w:r>
    </w:p>
    <w:p>
      <w:pPr>
        <w:spacing w:after="0" w:line="14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Delaware Business Combination Statute. </w:t>
      </w:r>
      <w:r>
        <w:rPr>
          <w:rFonts w:ascii="Times New Roman" w:cs="Times New Roman" w:eastAsia="Times New Roman" w:hAnsi="Times New Roman"/>
          <w:sz w:val="14"/>
          <w:szCs w:val="14"/>
          <w:color w:val="auto"/>
        </w:rPr>
        <w:t>We are subject to Section 203 of the DGCL (“Section 203”), which prohibits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66" w:lineRule="exact"/>
        <w:rPr>
          <w:sz w:val="20"/>
          <w:szCs w:val="20"/>
          <w:color w:val="auto"/>
        </w:rPr>
      </w:pPr>
    </w:p>
    <w:p>
      <w:pPr>
        <w:ind w:left="1440" w:right="999" w:hanging="252"/>
        <w:spacing w:after="0" w:line="261"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45"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4"/>
          <w:szCs w:val="14"/>
          <w:color w:val="auto"/>
        </w:rPr>
      </w:pPr>
    </w:p>
    <w:p>
      <w:pPr>
        <w:ind w:left="1440" w:right="959" w:hanging="252"/>
        <w:spacing w:after="0" w:line="251"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In general, Section 203 defines business combinations to include the following:</w:t>
      </w:r>
    </w:p>
    <w:p>
      <w:pPr>
        <w:spacing w:after="0" w:line="82" w:lineRule="exact"/>
        <w:rPr>
          <w:sz w:val="20"/>
          <w:szCs w:val="20"/>
          <w:color w:val="auto"/>
        </w:rPr>
      </w:pPr>
    </w:p>
    <w:p>
      <w:pPr>
        <w:ind w:left="1440" w:hanging="252"/>
        <w:spacing w:after="0"/>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8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lease, transfer, pledge or other disposition of 10% or more of the assets of the corporation to or with the interested stockholder;</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or</w:t>
      </w:r>
    </w:p>
    <w:p>
      <w:pPr>
        <w:spacing w:after="0" w:line="55" w:lineRule="exact"/>
        <w:rPr>
          <w:rFonts w:ascii="Times New Roman" w:cs="Times New Roman" w:eastAsia="Times New Roman" w:hAnsi="Times New Roman"/>
          <w:sz w:val="14"/>
          <w:szCs w:val="14"/>
          <w:color w:val="auto"/>
        </w:rPr>
      </w:pPr>
    </w:p>
    <w:p>
      <w:pPr>
        <w:ind w:left="1440" w:right="93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loss, advances, guarantees, pledges or other financial benefits by or through the corporation.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7" w:lineRule="exact"/>
        <w:rPr>
          <w:sz w:val="20"/>
          <w:szCs w:val="20"/>
          <w:color w:val="auto"/>
        </w:rPr>
      </w:pPr>
    </w:p>
    <w:p>
      <w:pPr>
        <w:ind w:left="860" w:right="939" w:firstLine="331"/>
        <w:spacing w:after="0" w:line="244" w:lineRule="auto"/>
        <w:rPr>
          <w:sz w:val="20"/>
          <w:szCs w:val="20"/>
          <w:color w:val="auto"/>
        </w:rPr>
      </w:pPr>
      <w:r>
        <w:rPr>
          <w:rFonts w:ascii="Times New Roman" w:cs="Times New Roman" w:eastAsia="Times New Roman" w:hAnsi="Times New Roman"/>
          <w:sz w:val="14"/>
          <w:szCs w:val="14"/>
          <w:color w:val="auto"/>
        </w:rPr>
        <w:t>The following description summarizes the general terms and provisions of the debt securities that we may offer and sell from time to time. We will describe the specific terms of the debt securities and the extent, if any, to which the general provisions summarized below apply to any series of debt securities, in the prospectus supplement relating to such series and any applicable free writing prospectus that we may authorize to be delivered. As used in this “Description of Debt Securities” the term “debt securities,” means the senior and subordinated debt securities that we issue and the trustee authenticates and delivers under the applicable indenture. When we refer to “the Company,” “we,” “our” and “us” in this section, we mean Xilio Therapeutics, Inc. excluding, unless the context otherwise requires or as otherwise expressly stated, our subsidiaries.</w:t>
      </w:r>
    </w:p>
    <w:p>
      <w:pPr>
        <w:spacing w:after="0" w:line="151" w:lineRule="exact"/>
        <w:rPr>
          <w:sz w:val="20"/>
          <w:szCs w:val="20"/>
          <w:color w:val="auto"/>
        </w:rPr>
      </w:pPr>
    </w:p>
    <w:p>
      <w:pPr>
        <w:ind w:left="860" w:right="879" w:firstLine="331"/>
        <w:spacing w:after="0" w:line="288" w:lineRule="auto"/>
        <w:rPr>
          <w:sz w:val="20"/>
          <w:szCs w:val="20"/>
          <w:color w:val="auto"/>
        </w:rPr>
      </w:pPr>
      <w:r>
        <w:rPr>
          <w:rFonts w:ascii="Times New Roman" w:cs="Times New Roman" w:eastAsia="Times New Roman" w:hAnsi="Times New Roman"/>
          <w:sz w:val="12"/>
          <w:szCs w:val="12"/>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289" w:lineRule="exact"/>
        <w:rPr>
          <w:sz w:val="20"/>
          <w:szCs w:val="20"/>
          <w:color w:val="auto"/>
        </w:rPr>
      </w:pPr>
    </w:p>
    <w:p>
      <w:pPr>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6"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 — Subordination.” The debt securities will be structurally subordinated to all existing and future indebtedness and other liabilities of our subsidiaries unless such subsidiaries expressly guarantee such debt securities.</w:t>
      </w:r>
    </w:p>
    <w:p>
      <w:pPr>
        <w:spacing w:after="0" w:line="149" w:lineRule="exact"/>
        <w:rPr>
          <w:sz w:val="20"/>
          <w:szCs w:val="20"/>
          <w:color w:val="auto"/>
        </w:rPr>
      </w:pPr>
    </w:p>
    <w:p>
      <w:pPr>
        <w:ind w:left="860" w:right="919" w:firstLine="331"/>
        <w:spacing w:after="0" w:line="261" w:lineRule="auto"/>
        <w:rPr>
          <w:sz w:val="20"/>
          <w:szCs w:val="20"/>
          <w:color w:val="auto"/>
        </w:rPr>
      </w:pPr>
      <w:r>
        <w:rPr>
          <w:rFonts w:ascii="Times New Roman" w:cs="Times New Roman" w:eastAsia="Times New Roman" w:hAnsi="Times New Roman"/>
          <w:sz w:val="14"/>
          <w:szCs w:val="14"/>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36" w:lineRule="exact"/>
        <w:rPr>
          <w:sz w:val="20"/>
          <w:szCs w:val="20"/>
          <w:color w:val="auto"/>
        </w:rPr>
      </w:pPr>
    </w:p>
    <w:p>
      <w:pPr>
        <w:ind w:left="860" w:right="1039" w:firstLine="331"/>
        <w:spacing w:after="0" w:line="261" w:lineRule="auto"/>
        <w:rPr>
          <w:sz w:val="20"/>
          <w:szCs w:val="20"/>
          <w:color w:val="auto"/>
        </w:rPr>
      </w:pPr>
      <w:r>
        <w:rPr>
          <w:rFonts w:ascii="Times New Roman" w:cs="Times New Roman" w:eastAsia="Times New Roman" w:hAnsi="Times New Roman"/>
          <w:sz w:val="14"/>
          <w:szCs w:val="14"/>
          <w:color w:val="auto"/>
        </w:rPr>
        <w:t>The applicable prospectus supplement and/or free writing prospectus will include any additional or different terms of the debt securities of any series being offered, including the following terms:</w:t>
      </w:r>
    </w:p>
    <w:p>
      <w:pPr>
        <w:spacing w:after="0" w:line="55" w:lineRule="exact"/>
        <w:rPr>
          <w:sz w:val="20"/>
          <w:szCs w:val="20"/>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type of the debt securities;</w:t>
      </w:r>
    </w:p>
    <w:p>
      <w:pPr>
        <w:spacing w:after="0" w:line="82" w:lineRule="exact"/>
        <w:rPr>
          <w:rFonts w:ascii="Times New Roman" w:cs="Times New Roman" w:eastAsia="Times New Roman" w:hAnsi="Times New Roman"/>
          <w:sz w:val="14"/>
          <w:szCs w:val="14"/>
          <w:color w:val="auto"/>
        </w:rPr>
      </w:pPr>
    </w:p>
    <w:p>
      <w:pPr>
        <w:ind w:left="1440" w:right="1339" w:hanging="252"/>
        <w:spacing w:after="0" w:line="26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or subordinated debt securities, and, with respect to any subordinated debt securities the terms on which they are subordinated;</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aggregate principal amount of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we will sell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 of the debt securities and the right, if any, to extend such date or dates;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if any, at which the debt securities will bear interest, or the method of determining such rate or rates;</w:t>
      </w:r>
    </w:p>
    <w:p>
      <w:pPr>
        <w:spacing w:after="0" w:line="82"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will accrue, the interest payment dates on which such interest will be payable or the method of determination of such 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that extension;</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paying principal and interest and the place or places where principal and interest will be payable;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of the debt securities if other than $2,000 or multiples of $1,000;</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9" w:name="page20"/>
    <w:bookmarkEnd w:id="19"/>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a sinking fund, purchase fund or other analogous fund, if any;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dates, prices, obligations and restrictions on the debt securities;</w:t>
      </w:r>
    </w:p>
    <w:p>
      <w:pPr>
        <w:spacing w:after="0" w:line="82" w:lineRule="exact"/>
        <w:rPr>
          <w:rFonts w:ascii="Times New Roman" w:cs="Times New Roman" w:eastAsia="Times New Roman" w:hAnsi="Times New Roman"/>
          <w:sz w:val="14"/>
          <w:szCs w:val="14"/>
          <w:color w:val="auto"/>
        </w:rPr>
      </w:pPr>
    </w:p>
    <w:p>
      <w:pPr>
        <w:ind w:left="1440" w:right="999" w:hanging="252"/>
        <w:spacing w:after="0" w:line="26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debt securities will be denominated and the currency, currencies or currency units in which principal and interest, if any, on the debt securities may be payable;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features of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subject to the defeasance provisions in the indenture;</w:t>
      </w:r>
    </w:p>
    <w:p>
      <w:pPr>
        <w:spacing w:after="0" w:line="82" w:lineRule="exact"/>
        <w:rPr>
          <w:rFonts w:ascii="Times New Roman" w:cs="Times New Roman" w:eastAsia="Times New Roman" w:hAnsi="Times New Roman"/>
          <w:sz w:val="14"/>
          <w:szCs w:val="14"/>
          <w:color w:val="auto"/>
        </w:rPr>
      </w:pPr>
    </w:p>
    <w:p>
      <w:pPr>
        <w:ind w:left="1440" w:right="959" w:hanging="252"/>
        <w:spacing w:after="0" w:line="26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definitive or global form or in definitive form only upon satisfaction of certain conditions;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guaranteed as to payment or performance;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tax implications of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defaults or covenants in addition to or in lieu of those set forth in the indenture;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debt securities.</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When we refer to “principal” in this section with reference to the debt securities, we are also referring to “premium, if any.”</w:t>
      </w:r>
    </w:p>
    <w:p>
      <w:pPr>
        <w:spacing w:after="0" w:line="163" w:lineRule="exact"/>
        <w:rPr>
          <w:sz w:val="20"/>
          <w:szCs w:val="20"/>
          <w:color w:val="auto"/>
        </w:rPr>
      </w:pPr>
    </w:p>
    <w:p>
      <w:pPr>
        <w:ind w:left="860" w:right="919" w:firstLine="331"/>
        <w:spacing w:after="0" w:line="297" w:lineRule="auto"/>
        <w:rPr>
          <w:sz w:val="20"/>
          <w:szCs w:val="20"/>
          <w:color w:val="auto"/>
        </w:rPr>
      </w:pPr>
      <w:r>
        <w:rPr>
          <w:rFonts w:ascii="Times New Roman" w:cs="Times New Roman" w:eastAsia="Times New Roman" w:hAnsi="Times New Roman"/>
          <w:sz w:val="12"/>
          <w:szCs w:val="12"/>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19" w:lineRule="exact"/>
        <w:rPr>
          <w:sz w:val="20"/>
          <w:szCs w:val="20"/>
          <w:color w:val="auto"/>
        </w:rPr>
      </w:pPr>
    </w:p>
    <w:p>
      <w:pPr>
        <w:ind w:left="860" w:right="919" w:firstLine="331"/>
        <w:spacing w:after="0" w:line="248" w:lineRule="auto"/>
        <w:rPr>
          <w:sz w:val="20"/>
          <w:szCs w:val="20"/>
          <w:color w:val="auto"/>
        </w:rPr>
      </w:pPr>
      <w:r>
        <w:rPr>
          <w:rFonts w:ascii="Times New Roman" w:cs="Times New Roman" w:eastAsia="Times New Roman" w:hAnsi="Times New Roman"/>
          <w:sz w:val="14"/>
          <w:szCs w:val="14"/>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5" w:lineRule="exact"/>
        <w:rPr>
          <w:sz w:val="20"/>
          <w:szCs w:val="20"/>
          <w:color w:val="auto"/>
        </w:rPr>
      </w:pPr>
    </w:p>
    <w:p>
      <w:pPr>
        <w:ind w:left="860" w:right="899" w:firstLine="331"/>
        <w:spacing w:after="0" w:line="246" w:lineRule="auto"/>
        <w:rPr>
          <w:sz w:val="20"/>
          <w:szCs w:val="20"/>
          <w:color w:val="auto"/>
        </w:rPr>
      </w:pPr>
      <w:r>
        <w:rPr>
          <w:rFonts w:ascii="Times New Roman" w:cs="Times New Roman" w:eastAsia="Times New Roman" w:hAnsi="Times New Roman"/>
          <w:sz w:val="14"/>
          <w:szCs w:val="14"/>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48" w:lineRule="exact"/>
        <w:rPr>
          <w:sz w:val="20"/>
          <w:szCs w:val="20"/>
          <w:color w:val="auto"/>
        </w:rPr>
      </w:pPr>
    </w:p>
    <w:p>
      <w:pPr>
        <w:ind w:left="860" w:right="859" w:firstLine="331"/>
        <w:spacing w:after="0" w:line="244" w:lineRule="auto"/>
        <w:rPr>
          <w:sz w:val="20"/>
          <w:szCs w:val="20"/>
          <w:color w:val="auto"/>
        </w:rPr>
      </w:pPr>
      <w:r>
        <w:rPr>
          <w:rFonts w:ascii="Times New Roman" w:cs="Times New Roman" w:eastAsia="Times New Roman" w:hAnsi="Times New Roman"/>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Certain Terms of the Senior Debt Securities</w:t>
      </w:r>
    </w:p>
    <w:p>
      <w:pPr>
        <w:spacing w:after="0" w:line="84" w:lineRule="exact"/>
        <w:rPr>
          <w:sz w:val="20"/>
          <w:szCs w:val="20"/>
          <w:color w:val="auto"/>
        </w:rPr>
      </w:pPr>
    </w:p>
    <w:p>
      <w:pPr>
        <w:ind w:left="860" w:right="939" w:firstLine="331"/>
        <w:spacing w:after="0" w:line="304" w:lineRule="auto"/>
        <w:rPr>
          <w:sz w:val="20"/>
          <w:szCs w:val="20"/>
          <w:color w:val="auto"/>
        </w:rPr>
      </w:pPr>
      <w:r>
        <w:rPr>
          <w:rFonts w:ascii="Times New Roman" w:cs="Times New Roman" w:eastAsia="Times New Roman" w:hAnsi="Times New Roman"/>
          <w:sz w:val="12"/>
          <w:szCs w:val="12"/>
          <w:i w:val="1"/>
          <w:iCs w:val="1"/>
          <w:color w:val="auto"/>
        </w:rPr>
        <w:t xml:space="preserve">Covenants. </w:t>
      </w:r>
      <w:r>
        <w:rPr>
          <w:rFonts w:ascii="Times New Roman" w:cs="Times New Roman" w:eastAsia="Times New Roman" w:hAnsi="Times New Roman"/>
          <w:sz w:val="12"/>
          <w:szCs w:val="12"/>
          <w:color w:val="auto"/>
        </w:rPr>
        <w:t>Unless we indicate otherwise in a prospectus supplement with respect to a particular series of senior debt securities,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11" w:lineRule="exact"/>
        <w:rPr>
          <w:sz w:val="20"/>
          <w:szCs w:val="20"/>
          <w:color w:val="auto"/>
        </w:rPr>
      </w:pPr>
    </w:p>
    <w:p>
      <w:pPr>
        <w:ind w:left="860" w:right="95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Consolidation, Merger and Sale of Assets. </w:t>
      </w:r>
      <w:r>
        <w:rPr>
          <w:rFonts w:ascii="Times New Roman" w:cs="Times New Roman" w:eastAsia="Times New Roman" w:hAnsi="Times New Roman"/>
          <w:sz w:val="14"/>
          <w:szCs w:val="14"/>
          <w:color w:val="auto"/>
        </w:rPr>
        <w:t>Unless we indicate otherwise in a prospectus supplement with respect to a particular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63" w:lineRule="exact"/>
        <w:rPr>
          <w:sz w:val="20"/>
          <w:szCs w:val="20"/>
          <w:color w:val="auto"/>
        </w:rPr>
      </w:pPr>
    </w:p>
    <w:p>
      <w:pPr>
        <w:ind w:left="4440" w:right="2399" w:hanging="3252"/>
        <w:spacing w:after="0" w:line="503" w:lineRule="auto"/>
        <w:tabs>
          <w:tab w:leader="none" w:pos="143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entity, if any, is a U.S. corporation, limited liability company, partnership or trust;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236220</wp:posOffset>
            </wp:positionV>
            <wp:extent cx="528764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0" w:name="page21"/>
    <w:bookmarkEnd w:id="20"/>
    <w:p>
      <w:pPr>
        <w:ind w:left="1440" w:hanging="252"/>
        <w:spacing w:after="0"/>
        <w:tabs>
          <w:tab w:leader="none" w:pos="1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entity assumes our obligations on the senior debt securities and under the senior indenture;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giving effect to the transaction, no default or event of default shall have occurred and be continuing; and</w:t>
      </w:r>
    </w:p>
    <w:p>
      <w:pPr>
        <w:spacing w:after="0" w:line="105" w:lineRule="exact"/>
        <w:rPr>
          <w:rFonts w:ascii="Times New Roman" w:cs="Times New Roman" w:eastAsia="Times New Roman" w:hAnsi="Times New Roman"/>
          <w:sz w:val="12"/>
          <w:szCs w:val="12"/>
          <w:color w:val="auto"/>
        </w:rPr>
      </w:pPr>
    </w:p>
    <w:p>
      <w:pPr>
        <w:jc w:val="both"/>
        <w:ind w:left="1440" w:right="919" w:hanging="252"/>
        <w:spacing w:after="0" w:line="248" w:lineRule="auto"/>
        <w:tabs>
          <w:tab w:leader="none" w:pos="1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45" w:lineRule="exact"/>
        <w:rPr>
          <w:sz w:val="20"/>
          <w:szCs w:val="20"/>
          <w:color w:val="auto"/>
        </w:rPr>
      </w:pPr>
    </w:p>
    <w:p>
      <w:pPr>
        <w:ind w:left="860" w:right="939" w:firstLine="331"/>
        <w:spacing w:after="0" w:line="248" w:lineRule="auto"/>
        <w:rPr>
          <w:sz w:val="20"/>
          <w:szCs w:val="20"/>
          <w:color w:val="auto"/>
        </w:rPr>
      </w:pPr>
      <w:r>
        <w:rPr>
          <w:rFonts w:ascii="Times New Roman" w:cs="Times New Roman" w:eastAsia="Times New Roman" w:hAnsi="Times New Roman"/>
          <w:sz w:val="14"/>
          <w:szCs w:val="14"/>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45" w:lineRule="exact"/>
        <w:rPr>
          <w:sz w:val="20"/>
          <w:szCs w:val="20"/>
          <w:color w:val="auto"/>
        </w:rPr>
      </w:pPr>
    </w:p>
    <w:p>
      <w:pPr>
        <w:ind w:left="860" w:right="939" w:firstLine="331"/>
        <w:spacing w:after="0" w:line="345" w:lineRule="auto"/>
        <w:rPr>
          <w:sz w:val="20"/>
          <w:szCs w:val="20"/>
          <w:color w:val="auto"/>
        </w:rPr>
      </w:pPr>
      <w:r>
        <w:rPr>
          <w:rFonts w:ascii="Times New Roman" w:cs="Times New Roman" w:eastAsia="Times New Roman" w:hAnsi="Times New Roman"/>
          <w:sz w:val="12"/>
          <w:szCs w:val="12"/>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88" w:lineRule="exact"/>
        <w:rPr>
          <w:sz w:val="20"/>
          <w:szCs w:val="20"/>
          <w:color w:val="auto"/>
        </w:rPr>
      </w:pPr>
    </w:p>
    <w:p>
      <w:pPr>
        <w:ind w:left="860" w:right="95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No Protection in the Event of a Change in Control. </w:t>
      </w:r>
      <w:r>
        <w:rPr>
          <w:rFonts w:ascii="Times New Roman" w:cs="Times New Roman" w:eastAsia="Times New Roman" w:hAnsi="Times New Roman"/>
          <w:sz w:val="14"/>
          <w:szCs w:val="14"/>
          <w:color w:val="auto"/>
        </w:rPr>
        <w:t>Unless we indicate otherwise in a prospectus supplement with respect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42" w:lineRule="exact"/>
        <w:rPr>
          <w:sz w:val="20"/>
          <w:szCs w:val="20"/>
          <w:color w:val="auto"/>
        </w:rPr>
      </w:pPr>
    </w:p>
    <w:p>
      <w:pPr>
        <w:ind w:left="860" w:right="115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 xml:space="preserve">Events of Default. </w:t>
      </w:r>
      <w:r>
        <w:rPr>
          <w:rFonts w:ascii="Times New Roman" w:cs="Times New Roman" w:eastAsia="Times New Roman" w:hAnsi="Times New Roman"/>
          <w:sz w:val="12"/>
          <w:szCs w:val="12"/>
          <w:color w:val="auto"/>
        </w:rPr>
        <w:t>Unless we indicate otherwise in a prospectus supplement with respect to a particular series of senior debt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securities, the following are events of default under the senior indenture with respect to senior debt securities of each series:</w:t>
      </w:r>
    </w:p>
    <w:p>
      <w:pPr>
        <w:spacing w:after="0" w:line="7" w:lineRule="exact"/>
        <w:rPr>
          <w:sz w:val="20"/>
          <w:szCs w:val="20"/>
          <w:color w:val="auto"/>
        </w:rPr>
      </w:pPr>
    </w:p>
    <w:p>
      <w:pPr>
        <w:ind w:left="1440" w:right="1239" w:hanging="252"/>
        <w:spacing w:after="0" w:line="261"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any senior debt securities of such series when due and payable, if that default continues for a period of 30 days (or such other period as may be specified for such series);</w:t>
      </w:r>
    </w:p>
    <w:p>
      <w:pPr>
        <w:spacing w:after="0" w:line="55" w:lineRule="exact"/>
        <w:rPr>
          <w:rFonts w:ascii="Times New Roman" w:cs="Times New Roman" w:eastAsia="Times New Roman" w:hAnsi="Times New Roman"/>
          <w:sz w:val="14"/>
          <w:szCs w:val="14"/>
          <w:color w:val="auto"/>
        </w:rPr>
      </w:pPr>
    </w:p>
    <w:p>
      <w:pPr>
        <w:ind w:left="1440" w:right="1139" w:hanging="252"/>
        <w:spacing w:after="0" w:line="251"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2" w:lineRule="exact"/>
        <w:rPr>
          <w:rFonts w:ascii="Times New Roman" w:cs="Times New Roman" w:eastAsia="Times New Roman" w:hAnsi="Times New Roman"/>
          <w:sz w:val="14"/>
          <w:szCs w:val="14"/>
          <w:color w:val="auto"/>
        </w:rPr>
      </w:pPr>
    </w:p>
    <w:p>
      <w:pPr>
        <w:ind w:left="1440" w:right="1039" w:hanging="252"/>
        <w:spacing w:after="0" w:line="248"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64"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or insolvency, whether or not voluntary; and</w:t>
      </w:r>
    </w:p>
    <w:p>
      <w:pPr>
        <w:spacing w:after="0" w:line="82" w:lineRule="exact"/>
        <w:rPr>
          <w:rFonts w:ascii="Times New Roman" w:cs="Times New Roman" w:eastAsia="Times New Roman" w:hAnsi="Times New Roman"/>
          <w:sz w:val="14"/>
          <w:szCs w:val="14"/>
          <w:color w:val="auto"/>
        </w:rPr>
      </w:pPr>
    </w:p>
    <w:p>
      <w:pPr>
        <w:ind w:left="1440" w:right="1399" w:hanging="252"/>
        <w:spacing w:after="0" w:line="261"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for in such series of senior debt securities as may be specified in the applicable prospectus supplement.</w:t>
      </w:r>
    </w:p>
    <w:p>
      <w:pPr>
        <w:spacing w:after="0" w:line="136" w:lineRule="exact"/>
        <w:rPr>
          <w:sz w:val="20"/>
          <w:szCs w:val="20"/>
          <w:color w:val="auto"/>
        </w:r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36" w:lineRule="exact"/>
        <w:rPr>
          <w:sz w:val="20"/>
          <w:szCs w:val="20"/>
          <w:color w:val="auto"/>
        </w:rPr>
      </w:pPr>
    </w:p>
    <w:p>
      <w:pPr>
        <w:ind w:left="860" w:right="979" w:firstLine="331"/>
        <w:spacing w:after="0" w:line="245" w:lineRule="auto"/>
        <w:rPr>
          <w:sz w:val="20"/>
          <w:szCs w:val="20"/>
          <w:color w:val="auto"/>
        </w:rPr>
      </w:pPr>
      <w:r>
        <w:rPr>
          <w:rFonts w:ascii="Times New Roman" w:cs="Times New Roman" w:eastAsia="Times New Roman" w:hAnsi="Times New Roman"/>
          <w:sz w:val="14"/>
          <w:szCs w:val="14"/>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49" w:lineRule="exact"/>
        <w:rPr>
          <w:sz w:val="20"/>
          <w:szCs w:val="20"/>
          <w:color w:val="auto"/>
        </w:rPr>
      </w:pPr>
    </w:p>
    <w:p>
      <w:pPr>
        <w:ind w:left="860" w:right="1099" w:firstLine="331"/>
        <w:spacing w:after="0" w:line="345" w:lineRule="auto"/>
        <w:rPr>
          <w:sz w:val="20"/>
          <w:szCs w:val="20"/>
          <w:color w:val="auto"/>
        </w:rPr>
      </w:pPr>
      <w:r>
        <w:rPr>
          <w:rFonts w:ascii="Times New Roman" w:cs="Times New Roman" w:eastAsia="Times New Roman" w:hAnsi="Times New Roman"/>
          <w:sz w:val="12"/>
          <w:szCs w:val="12"/>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90" w:lineRule="exact"/>
        <w:rPr>
          <w:sz w:val="20"/>
          <w:szCs w:val="20"/>
          <w:color w:val="auto"/>
        </w:rPr>
      </w:pPr>
    </w:p>
    <w:p>
      <w:pPr>
        <w:jc w:val="both"/>
        <w:ind w:left="860" w:right="1219" w:firstLine="331"/>
        <w:spacing w:after="0" w:line="251" w:lineRule="auto"/>
        <w:rPr>
          <w:sz w:val="20"/>
          <w:szCs w:val="20"/>
          <w:color w:val="auto"/>
        </w:rPr>
      </w:pPr>
      <w:r>
        <w:rPr>
          <w:rFonts w:ascii="Times New Roman" w:cs="Times New Roman" w:eastAsia="Times New Roman" w:hAnsi="Times New Roman"/>
          <w:sz w:val="14"/>
          <w:szCs w:val="14"/>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43" w:lineRule="exact"/>
        <w:rPr>
          <w:sz w:val="20"/>
          <w:szCs w:val="20"/>
          <w:color w:val="auto"/>
        </w:rPr>
      </w:pPr>
    </w:p>
    <w:p>
      <w:pPr>
        <w:ind w:left="860" w:right="1019" w:firstLine="331"/>
        <w:spacing w:after="0" w:line="345" w:lineRule="auto"/>
        <w:rPr>
          <w:sz w:val="20"/>
          <w:szCs w:val="20"/>
          <w:color w:val="auto"/>
        </w:rPr>
      </w:pPr>
      <w:r>
        <w:rPr>
          <w:rFonts w:ascii="Times New Roman" w:cs="Times New Roman" w:eastAsia="Times New Roman" w:hAnsi="Times New Roman"/>
          <w:sz w:val="12"/>
          <w:szCs w:val="12"/>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1" w:name="page22"/>
    <w:bookmarkEnd w:id="21"/>
    <w:p>
      <w:pPr>
        <w:ind w:left="860" w:right="939"/>
        <w:spacing w:after="0" w:line="292" w:lineRule="auto"/>
        <w:rPr>
          <w:sz w:val="20"/>
          <w:szCs w:val="20"/>
          <w:color w:val="auto"/>
        </w:rPr>
      </w:pPr>
      <w:r>
        <w:rPr>
          <w:rFonts w:ascii="Times New Roman" w:cs="Times New Roman" w:eastAsia="Times New Roman" w:hAnsi="Times New Roman"/>
          <w:sz w:val="12"/>
          <w:szCs w:val="12"/>
          <w:color w:val="auto"/>
        </w:rPr>
        <w:t>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284" w:lineRule="exact"/>
        <w:rPr>
          <w:sz w:val="20"/>
          <w:szCs w:val="20"/>
          <w:color w:val="auto"/>
        </w:rPr>
      </w:pPr>
    </w:p>
    <w:p>
      <w:pPr>
        <w:ind w:left="860" w:right="879" w:firstLine="331"/>
        <w:spacing w:after="0" w:line="292" w:lineRule="auto"/>
        <w:rPr>
          <w:sz w:val="20"/>
          <w:szCs w:val="20"/>
          <w:color w:val="auto"/>
        </w:rPr>
      </w:pPr>
      <w:r>
        <w:rPr>
          <w:rFonts w:ascii="Times New Roman" w:cs="Times New Roman" w:eastAsia="Times New Roman" w:hAnsi="Times New Roman"/>
          <w:sz w:val="12"/>
          <w:szCs w:val="12"/>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40" w:lineRule="exact"/>
        <w:rPr>
          <w:sz w:val="20"/>
          <w:szCs w:val="20"/>
          <w:color w:val="auto"/>
        </w:rPr>
      </w:pPr>
    </w:p>
    <w:p>
      <w:pPr>
        <w:ind w:left="1440" w:hanging="252"/>
        <w:spacing w:after="0"/>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w:t>
      </w:r>
    </w:p>
    <w:p>
      <w:pPr>
        <w:spacing w:after="0" w:line="8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such series of senior debt securities make a written request to the trustee to pursue the remedy in respect of such event of default;</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requesting holder or holders offer the trustee indemnity satisfactory to the trustee against any costs, liability or expense;</w:t>
      </w:r>
    </w:p>
    <w:p>
      <w:pPr>
        <w:spacing w:after="0" w:line="105"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the offer of indemnity; and</w:t>
      </w:r>
    </w:p>
    <w:p>
      <w:pPr>
        <w:spacing w:after="0" w:line="82" w:lineRule="exact"/>
        <w:rPr>
          <w:rFonts w:ascii="Times New Roman" w:cs="Times New Roman" w:eastAsia="Times New Roman" w:hAnsi="Times New Roman"/>
          <w:sz w:val="14"/>
          <w:szCs w:val="14"/>
          <w:color w:val="auto"/>
        </w:rPr>
      </w:pPr>
    </w:p>
    <w:p>
      <w:pPr>
        <w:ind w:left="1440" w:right="1039" w:hanging="252"/>
        <w:spacing w:after="0" w:line="261" w:lineRule="auto"/>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such 60-day period, the holders of a majority in aggregate principal amount of such series of senior debt securities do not give the trustee a direction that is inconsistent with the request.</w:t>
      </w:r>
    </w:p>
    <w:p>
      <w:pPr>
        <w:spacing w:after="0" w:line="136"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45" w:lineRule="exact"/>
        <w:rPr>
          <w:sz w:val="20"/>
          <w:szCs w:val="20"/>
          <w:color w:val="auto"/>
        </w:rPr>
      </w:pPr>
    </w:p>
    <w:p>
      <w:pPr>
        <w:ind w:left="860" w:right="1079" w:firstLine="331"/>
        <w:spacing w:after="0" w:line="251" w:lineRule="auto"/>
        <w:rPr>
          <w:sz w:val="20"/>
          <w:szCs w:val="20"/>
          <w:color w:val="auto"/>
        </w:rPr>
      </w:pPr>
      <w:r>
        <w:rPr>
          <w:rFonts w:ascii="Times New Roman" w:cs="Times New Roman" w:eastAsia="Times New Roman" w:hAnsi="Times New Roman"/>
          <w:sz w:val="14"/>
          <w:szCs w:val="14"/>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i w:val="1"/>
          <w:iCs w:val="1"/>
          <w:color w:val="auto"/>
        </w:rPr>
        <w:t>Satisfaction and Discharge</w:t>
      </w:r>
      <w:r>
        <w:rPr>
          <w:rFonts w:ascii="Times New Roman" w:cs="Times New Roman" w:eastAsia="Times New Roman" w:hAnsi="Times New Roman"/>
          <w:sz w:val="14"/>
          <w:szCs w:val="14"/>
          <w:color w:val="auto"/>
        </w:rPr>
        <w:t>. We can satisfy and discharge our obligations to holders of any series of debt securities if:</w:t>
      </w:r>
    </w:p>
    <w:p>
      <w:pPr>
        <w:spacing w:after="0" w:line="84" w:lineRule="exact"/>
        <w:rPr>
          <w:sz w:val="20"/>
          <w:szCs w:val="20"/>
          <w:color w:val="auto"/>
        </w:rPr>
      </w:pPr>
    </w:p>
    <w:p>
      <w:pPr>
        <w:ind w:left="1440" w:right="1239" w:hanging="252"/>
        <w:spacing w:after="0" w:line="261"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the principal of and interest on all senior debt securities of such series (with certain limited exceptions) when due and payable; or</w:t>
      </w:r>
    </w:p>
    <w:p>
      <w:pPr>
        <w:spacing w:after="0" w:line="55"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senior trustee for cancellation all senior debt securities of such series theretofore authenticated under the senior indenture (with certain limited exceptions); or</w:t>
      </w:r>
    </w:p>
    <w:p>
      <w:pPr>
        <w:spacing w:after="0" w:line="55" w:lineRule="exact"/>
        <w:rPr>
          <w:rFonts w:ascii="Times New Roman" w:cs="Times New Roman" w:eastAsia="Times New Roman" w:hAnsi="Times New Roman"/>
          <w:sz w:val="14"/>
          <w:szCs w:val="14"/>
          <w:color w:val="auto"/>
        </w:rPr>
      </w:pPr>
    </w:p>
    <w:p>
      <w:pPr>
        <w:ind w:left="1440" w:right="899" w:hanging="252"/>
        <w:spacing w:after="0" w:line="245"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67" w:lineRule="exact"/>
        <w:rPr>
          <w:rFonts w:ascii="Times New Roman" w:cs="Times New Roman" w:eastAsia="Times New Roman" w:hAnsi="Times New Roman"/>
          <w:sz w:val="14"/>
          <w:szCs w:val="14"/>
          <w:color w:val="auto"/>
        </w:rPr>
      </w:pPr>
    </w:p>
    <w:p>
      <w:pPr>
        <w:ind w:left="1440" w:right="959" w:hanging="252"/>
        <w:spacing w:after="0" w:line="251"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43" w:lineRule="exact"/>
        <w:rPr>
          <w:sz w:val="20"/>
          <w:szCs w:val="20"/>
          <w:color w:val="auto"/>
        </w:rPr>
      </w:pPr>
    </w:p>
    <w:p>
      <w:pPr>
        <w:ind w:left="860" w:right="939" w:firstLine="331"/>
        <w:spacing w:after="0" w:line="246" w:lineRule="auto"/>
        <w:rPr>
          <w:sz w:val="20"/>
          <w:szCs w:val="20"/>
          <w:color w:val="auto"/>
        </w:rPr>
      </w:pPr>
      <w:r>
        <w:rPr>
          <w:rFonts w:ascii="Times New Roman" w:cs="Times New Roman" w:eastAsia="Times New Roman" w:hAnsi="Times New Roman"/>
          <w:sz w:val="14"/>
          <w:szCs w:val="14"/>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22" w:name="page23"/>
    <w:bookmarkEnd w:id="22"/>
    <w:p>
      <w:pPr>
        <w:ind w:left="860" w:right="9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Unless the applicable prospectus supplement provides otherwise, the following discussion of legal defeasance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covenant defeasance will apply to any series of debt securities issued under the indentures.</w:t>
      </w:r>
    </w:p>
    <w:p>
      <w:pPr>
        <w:spacing w:after="0" w:line="132" w:lineRule="exact"/>
        <w:rPr>
          <w:sz w:val="20"/>
          <w:szCs w:val="20"/>
          <w:color w:val="auto"/>
        </w:rPr>
      </w:pPr>
    </w:p>
    <w:p>
      <w:pPr>
        <w:ind w:left="860" w:right="101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We can legally release ourselves from any payment or other obligations on the debt securities of any series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(called “legal defeasance”) if certain conditions are met, including the following:</w:t>
      </w:r>
    </w:p>
    <w:p>
      <w:pPr>
        <w:spacing w:after="0" w:line="53" w:lineRule="exact"/>
        <w:rPr>
          <w:sz w:val="20"/>
          <w:szCs w:val="20"/>
          <w:color w:val="auto"/>
        </w:rPr>
      </w:pPr>
    </w:p>
    <w:p>
      <w:pPr>
        <w:ind w:left="1440" w:right="879" w:hanging="252"/>
        <w:spacing w:after="0" w:line="246" w:lineRule="auto"/>
        <w:tabs>
          <w:tab w:leader="none" w:pos="1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66" w:lineRule="exact"/>
        <w:rPr>
          <w:rFonts w:ascii="Times New Roman" w:cs="Times New Roman" w:eastAsia="Times New Roman" w:hAnsi="Times New Roman"/>
          <w:sz w:val="14"/>
          <w:szCs w:val="14"/>
          <w:color w:val="auto"/>
        </w:rPr>
      </w:pPr>
    </w:p>
    <w:p>
      <w:pPr>
        <w:ind w:left="1440" w:right="879" w:hanging="252"/>
        <w:spacing w:after="0" w:line="245" w:lineRule="auto"/>
        <w:tabs>
          <w:tab w:leader="none" w:pos="1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67"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 legal opinion of our counsel confirming the tax law change or ruling described above.</w:t>
      </w:r>
    </w:p>
    <w:p>
      <w:pPr>
        <w:spacing w:after="0" w:line="163" w:lineRule="exact"/>
        <w:rPr>
          <w:sz w:val="20"/>
          <w:szCs w:val="20"/>
          <w:color w:val="auto"/>
        </w:rPr>
      </w:pPr>
    </w:p>
    <w:p>
      <w:pPr>
        <w:ind w:left="860" w:right="1019" w:firstLine="331"/>
        <w:spacing w:after="0" w:line="261" w:lineRule="auto"/>
        <w:rPr>
          <w:sz w:val="20"/>
          <w:szCs w:val="20"/>
          <w:color w:val="auto"/>
        </w:rPr>
      </w:pPr>
      <w:r>
        <w:rPr>
          <w:rFonts w:ascii="Times New Roman" w:cs="Times New Roman" w:eastAsia="Times New Roman" w:hAnsi="Times New Roman"/>
          <w:sz w:val="14"/>
          <w:szCs w:val="14"/>
          <w:color w:val="auto"/>
        </w:rPr>
        <w:t>If we accomplish legal defeasance, as described above, you would have to rely solely on the trust deposit for repayment of the debt securities. You could not look to us for repayment in the event of any shortfall.</w:t>
      </w:r>
    </w:p>
    <w:p>
      <w:pPr>
        <w:spacing w:after="0" w:line="134" w:lineRule="exact"/>
        <w:rPr>
          <w:sz w:val="20"/>
          <w:szCs w:val="20"/>
          <w:color w:val="auto"/>
        </w:rPr>
      </w:pPr>
    </w:p>
    <w:p>
      <w:pPr>
        <w:ind w:left="860" w:right="93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Covenant Defeasance</w:t>
      </w:r>
      <w:r>
        <w:rPr>
          <w:rFonts w:ascii="Times New Roman" w:cs="Times New Roman" w:eastAsia="Times New Roman" w:hAnsi="Times New Roman"/>
          <w:sz w:val="14"/>
          <w:szCs w:val="14"/>
          <w:color w:val="auto"/>
        </w:rPr>
        <w:t>. Without any change in current U.S. federal tax law, we can make the same type of deposit described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63" w:lineRule="exact"/>
        <w:rPr>
          <w:sz w:val="20"/>
          <w:szCs w:val="20"/>
          <w:color w:val="auto"/>
        </w:rPr>
      </w:pPr>
    </w:p>
    <w:p>
      <w:pPr>
        <w:ind w:left="1440" w:right="999" w:hanging="252"/>
        <w:spacing w:after="0" w:line="246" w:lineRule="auto"/>
        <w:tabs>
          <w:tab w:leader="none" w:pos="1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66" w:lineRule="exact"/>
        <w:rPr>
          <w:rFonts w:ascii="Times New Roman" w:cs="Times New Roman" w:eastAsia="Times New Roman" w:hAnsi="Times New Roman"/>
          <w:sz w:val="14"/>
          <w:szCs w:val="14"/>
          <w:color w:val="auto"/>
        </w:rPr>
      </w:pPr>
    </w:p>
    <w:p>
      <w:pPr>
        <w:ind w:left="1440" w:right="879" w:hanging="252"/>
        <w:spacing w:after="0" w:line="251" w:lineRule="auto"/>
        <w:tabs>
          <w:tab w:leader="none" w:pos="1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43" w:lineRule="exact"/>
        <w:rPr>
          <w:sz w:val="20"/>
          <w:szCs w:val="20"/>
          <w:color w:val="auto"/>
        </w:rPr>
      </w:pPr>
    </w:p>
    <w:p>
      <w:pPr>
        <w:jc w:val="both"/>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43" w:lineRule="exact"/>
        <w:rPr>
          <w:sz w:val="20"/>
          <w:szCs w:val="20"/>
          <w:color w:val="auto"/>
        </w:rPr>
      </w:pPr>
    </w:p>
    <w:p>
      <w:pPr>
        <w:ind w:left="860" w:right="93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Modification and Waiver. </w:t>
      </w:r>
      <w:r>
        <w:rPr>
          <w:rFonts w:ascii="Times New Roman" w:cs="Times New Roman" w:eastAsia="Times New Roman" w:hAnsi="Times New Roman"/>
          <w:sz w:val="14"/>
          <w:szCs w:val="14"/>
          <w:color w:val="auto"/>
        </w:rPr>
        <w:t>We and the trustee may amend or supplement the senior indenture or the senior debt securities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series without the consent of any holder:</w:t>
      </w:r>
    </w:p>
    <w:p>
      <w:pPr>
        <w:spacing w:after="0" w:line="53" w:lineRule="exact"/>
        <w:rPr>
          <w:sz w:val="20"/>
          <w:szCs w:val="20"/>
          <w:color w:val="auto"/>
        </w:rPr>
      </w:pPr>
    </w:p>
    <w:p>
      <w:pPr>
        <w:ind w:left="1440" w:hanging="252"/>
        <w:spacing w:after="0"/>
        <w:tabs>
          <w:tab w:leader="none" w:pos="1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convey, transfer, assign, mortgage or pledge any assets as security for the senior debt securities of one or more series;</w:t>
      </w:r>
    </w:p>
    <w:p>
      <w:pPr>
        <w:spacing w:after="0" w:line="105" w:lineRule="exact"/>
        <w:rPr>
          <w:rFonts w:ascii="Times New Roman" w:cs="Times New Roman" w:eastAsia="Times New Roman" w:hAnsi="Times New Roman"/>
          <w:sz w:val="12"/>
          <w:szCs w:val="12"/>
          <w:color w:val="auto"/>
        </w:rPr>
      </w:pPr>
    </w:p>
    <w:p>
      <w:pPr>
        <w:jc w:val="both"/>
        <w:ind w:left="1440" w:right="859" w:hanging="252"/>
        <w:spacing w:after="0" w:line="25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6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requirements of the SEC in order to effect or maintain the qualification of the senior indenture under the Trust Indenture Act of 1939, as amended (the “Trust Indenture Act”);</w:t>
      </w:r>
    </w:p>
    <w:p>
      <w:pPr>
        <w:spacing w:after="0" w:line="55" w:lineRule="exact"/>
        <w:rPr>
          <w:rFonts w:ascii="Times New Roman" w:cs="Times New Roman" w:eastAsia="Times New Roman" w:hAnsi="Times New Roman"/>
          <w:sz w:val="14"/>
          <w:szCs w:val="14"/>
          <w:color w:val="auto"/>
        </w:rPr>
      </w:pPr>
    </w:p>
    <w:p>
      <w:pPr>
        <w:ind w:left="1440" w:right="1019" w:hanging="252"/>
        <w:spacing w:after="0" w:line="25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62" w:lineRule="exact"/>
        <w:rPr>
          <w:rFonts w:ascii="Times New Roman" w:cs="Times New Roman" w:eastAsia="Times New Roman" w:hAnsi="Times New Roman"/>
          <w:sz w:val="14"/>
          <w:szCs w:val="14"/>
          <w:color w:val="auto"/>
        </w:rPr>
      </w:pPr>
    </w:p>
    <w:p>
      <w:pPr>
        <w:ind w:left="1440" w:right="1059" w:hanging="252"/>
        <w:spacing w:after="0" w:line="25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5" w:right="1440" w:bottom="1440" w:gutter="0" w:footer="0" w:header="0"/>
        </w:sectPr>
      </w:pPr>
    </w:p>
    <w:bookmarkStart w:id="23" w:name="page24"/>
    <w:bookmarkEnd w:id="23"/>
    <w:p>
      <w:pPr>
        <w:ind w:left="1440" w:hanging="252"/>
        <w:spacing w:after="0"/>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or add guarantors with respect to the senior debt securities of any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forms or terms of the senior debt securities as permitted by the senior indenture;</w:t>
      </w:r>
    </w:p>
    <w:p>
      <w:pPr>
        <w:spacing w:after="0" w:line="82" w:lineRule="exact"/>
        <w:rPr>
          <w:rFonts w:ascii="Times New Roman" w:cs="Times New Roman" w:eastAsia="Times New Roman" w:hAnsi="Times New Roman"/>
          <w:sz w:val="14"/>
          <w:szCs w:val="14"/>
          <w:color w:val="auto"/>
        </w:rPr>
      </w:pPr>
    </w:p>
    <w:p>
      <w:pPr>
        <w:ind w:left="1440" w:right="879" w:hanging="252"/>
        <w:spacing w:after="0" w:line="251" w:lineRule="auto"/>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2" w:lineRule="exact"/>
        <w:rPr>
          <w:rFonts w:ascii="Times New Roman" w:cs="Times New Roman" w:eastAsia="Times New Roman" w:hAnsi="Times New Roman"/>
          <w:sz w:val="14"/>
          <w:szCs w:val="14"/>
          <w:color w:val="auto"/>
        </w:rPr>
      </w:pPr>
    </w:p>
    <w:p>
      <w:pPr>
        <w:ind w:left="1440" w:right="919" w:hanging="252"/>
        <w:spacing w:after="0" w:line="246" w:lineRule="auto"/>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66" w:lineRule="exact"/>
        <w:rPr>
          <w:rFonts w:ascii="Times New Roman" w:cs="Times New Roman" w:eastAsia="Times New Roman" w:hAnsi="Times New Roman"/>
          <w:sz w:val="14"/>
          <w:szCs w:val="14"/>
          <w:color w:val="auto"/>
        </w:rPr>
      </w:pPr>
    </w:p>
    <w:p>
      <w:pPr>
        <w:ind w:left="1440" w:right="1399" w:hanging="252"/>
        <w:spacing w:after="0" w:line="261" w:lineRule="auto"/>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to the senior debt securities of any series so long as no senior debt securities of such series are outstanding; or</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in any material respect.</w:t>
      </w:r>
    </w:p>
    <w:p>
      <w:pPr>
        <w:spacing w:after="0" w:line="163"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66" w:lineRule="exact"/>
        <w:rPr>
          <w:sz w:val="20"/>
          <w:szCs w:val="20"/>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extends the final maturity of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rate, or extends the time for payment of, interest on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amount payable upon the redemption of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currency of payment of principal of or interest on any senior debt securities of such series;</w:t>
      </w:r>
    </w:p>
    <w:p>
      <w:pPr>
        <w:spacing w:after="0" w:line="82" w:lineRule="exact"/>
        <w:rPr>
          <w:rFonts w:ascii="Times New Roman" w:cs="Times New Roman" w:eastAsia="Times New Roman" w:hAnsi="Times New Roman"/>
          <w:sz w:val="14"/>
          <w:szCs w:val="14"/>
          <w:color w:val="auto"/>
        </w:rPr>
      </w:pPr>
    </w:p>
    <w:p>
      <w:pPr>
        <w:ind w:left="1440" w:right="1219" w:hanging="252"/>
        <w:spacing w:after="0" w:line="26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original issue discount securities payable upon acceleration of maturity or the amount provable in bankruptcy;</w:t>
      </w:r>
    </w:p>
    <w:p>
      <w:pPr>
        <w:spacing w:after="0" w:line="55" w:lineRule="exact"/>
        <w:rPr>
          <w:rFonts w:ascii="Times New Roman" w:cs="Times New Roman" w:eastAsia="Times New Roman" w:hAnsi="Times New Roman"/>
          <w:sz w:val="14"/>
          <w:szCs w:val="14"/>
          <w:color w:val="auto"/>
        </w:rPr>
      </w:pPr>
    </w:p>
    <w:p>
      <w:pPr>
        <w:ind w:left="1440" w:right="1199" w:hanging="252"/>
        <w:spacing w:after="0" w:line="26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a continuing default in the payment of principal of or interest on the senior debt securities (other than any such default in payment resulting solely from an acceleration of the senior debt securities);</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5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2" w:lineRule="exact"/>
        <w:rPr>
          <w:rFonts w:ascii="Times New Roman" w:cs="Times New Roman" w:eastAsia="Times New Roman" w:hAnsi="Times New Roman"/>
          <w:sz w:val="14"/>
          <w:szCs w:val="14"/>
          <w:color w:val="auto"/>
        </w:rPr>
      </w:pPr>
    </w:p>
    <w:p>
      <w:pPr>
        <w:ind w:left="1440" w:right="1119" w:hanging="252"/>
        <w:spacing w:after="0" w:line="25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6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affects the right to convert or exchange senior debt securities into common stock, other securities or property in accordance with the terms of the senior debt securities; or</w:t>
      </w:r>
    </w:p>
    <w:p>
      <w:pPr>
        <w:spacing w:after="0" w:line="55" w:lineRule="exact"/>
        <w:rPr>
          <w:rFonts w:ascii="Times New Roman" w:cs="Times New Roman" w:eastAsia="Times New Roman" w:hAnsi="Times New Roman"/>
          <w:sz w:val="14"/>
          <w:szCs w:val="14"/>
          <w:color w:val="auto"/>
        </w:rPr>
      </w:pPr>
    </w:p>
    <w:p>
      <w:pPr>
        <w:ind w:left="1440" w:right="1099" w:hanging="252"/>
        <w:spacing w:after="0" w:line="345" w:lineRule="auto"/>
        <w:tabs>
          <w:tab w:leader="none" w:pos="14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90" w:lineRule="exact"/>
        <w:rPr>
          <w:sz w:val="20"/>
          <w:szCs w:val="20"/>
          <w:color w:val="auto"/>
        </w:rPr>
      </w:pPr>
    </w:p>
    <w:p>
      <w:pPr>
        <w:ind w:left="860" w:right="899" w:firstLine="331"/>
        <w:spacing w:after="0" w:line="297" w:lineRule="auto"/>
        <w:rPr>
          <w:sz w:val="20"/>
          <w:szCs w:val="20"/>
          <w:color w:val="auto"/>
        </w:rPr>
      </w:pPr>
      <w:r>
        <w:rPr>
          <w:rFonts w:ascii="Times New Roman" w:cs="Times New Roman" w:eastAsia="Times New Roman" w:hAnsi="Times New Roman"/>
          <w:sz w:val="12"/>
          <w:szCs w:val="12"/>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17" w:lineRule="exact"/>
        <w:rPr>
          <w:sz w:val="20"/>
          <w:szCs w:val="20"/>
          <w:color w:val="auto"/>
        </w:rPr>
      </w:pPr>
    </w:p>
    <w:p>
      <w:pPr>
        <w:ind w:left="860" w:right="959" w:firstLine="331"/>
        <w:spacing w:after="0" w:line="304" w:lineRule="auto"/>
        <w:rPr>
          <w:sz w:val="20"/>
          <w:szCs w:val="20"/>
          <w:color w:val="auto"/>
        </w:rPr>
      </w:pPr>
      <w:r>
        <w:rPr>
          <w:rFonts w:ascii="Times New Roman" w:cs="Times New Roman" w:eastAsia="Times New Roman" w:hAnsi="Times New Roman"/>
          <w:sz w:val="12"/>
          <w:szCs w:val="12"/>
          <w:i w:val="1"/>
          <w:iCs w:val="1"/>
          <w:color w:val="auto"/>
        </w:rPr>
        <w:t xml:space="preserve">Notice of Redemption. </w:t>
      </w:r>
      <w:r>
        <w:rPr>
          <w:rFonts w:ascii="Times New Roman" w:cs="Times New Roman" w:eastAsia="Times New Roman" w:hAnsi="Times New Roman"/>
          <w:sz w:val="12"/>
          <w:szCs w:val="12"/>
          <w:color w:val="auto"/>
        </w:rPr>
        <w:t>Notice of any redemption of senior debt securities will be mailed at least 10 days but not more than 60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4" w:name="page25"/>
    <w:bookmarkEnd w:id="24"/>
    <w:p>
      <w:pPr>
        <w:ind w:left="860" w:right="919"/>
        <w:spacing w:after="0" w:line="313" w:lineRule="auto"/>
        <w:rPr>
          <w:sz w:val="20"/>
          <w:szCs w:val="20"/>
          <w:color w:val="auto"/>
        </w:rPr>
      </w:pPr>
      <w:r>
        <w:rPr>
          <w:rFonts w:ascii="Times New Roman" w:cs="Times New Roman" w:eastAsia="Times New Roman" w:hAnsi="Times New Roman"/>
          <w:sz w:val="12"/>
          <w:szCs w:val="12"/>
          <w:color w:val="auto"/>
        </w:rPr>
        <w:t>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08" w:lineRule="exact"/>
        <w:rPr>
          <w:sz w:val="20"/>
          <w:szCs w:val="20"/>
          <w:color w:val="auto"/>
        </w:rPr>
      </w:pPr>
    </w:p>
    <w:p>
      <w:pPr>
        <w:jc w:val="both"/>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41" w:lineRule="exact"/>
        <w:rPr>
          <w:sz w:val="20"/>
          <w:szCs w:val="20"/>
          <w:color w:val="auto"/>
        </w:rPr>
      </w:pPr>
    </w:p>
    <w:p>
      <w:pPr>
        <w:ind w:left="860" w:right="979" w:firstLine="331"/>
        <w:spacing w:after="0" w:line="295" w:lineRule="auto"/>
        <w:rPr>
          <w:sz w:val="20"/>
          <w:szCs w:val="20"/>
          <w:color w:val="auto"/>
        </w:rPr>
      </w:pPr>
      <w:r>
        <w:rPr>
          <w:rFonts w:ascii="Times New Roman" w:cs="Times New Roman" w:eastAsia="Times New Roman" w:hAnsi="Times New Roman"/>
          <w:sz w:val="12"/>
          <w:szCs w:val="12"/>
          <w:i w:val="1"/>
          <w:iCs w:val="1"/>
          <w:color w:val="auto"/>
        </w:rPr>
        <w:t xml:space="preserve">Conversion Rights. </w:t>
      </w:r>
      <w:r>
        <w:rPr>
          <w:rFonts w:ascii="Times New Roman" w:cs="Times New Roman" w:eastAsia="Times New Roman" w:hAnsi="Times New Roman"/>
          <w:sz w:val="12"/>
          <w:szCs w:val="12"/>
          <w:color w:val="auto"/>
        </w:rPr>
        <w:t>We will describe the terms upon which senior debt securities may be convertible into our common stock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17"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No Personal Liability of Incorporators, Stockholders, Officers, or Directors. </w:t>
      </w:r>
      <w:r>
        <w:rPr>
          <w:rFonts w:ascii="Times New Roman" w:cs="Times New Roman" w:eastAsia="Times New Roman" w:hAnsi="Times New Roman"/>
          <w:sz w:val="14"/>
          <w:szCs w:val="14"/>
          <w:color w:val="auto"/>
        </w:rPr>
        <w:t>The senior indenture provides that no recourse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45" w:lineRule="exact"/>
        <w:rPr>
          <w:sz w:val="20"/>
          <w:szCs w:val="20"/>
          <w:color w:val="auto"/>
        </w:rPr>
      </w:pPr>
    </w:p>
    <w:p>
      <w:pPr>
        <w:ind w:left="860" w:right="87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Concerning the Trustee. </w:t>
      </w:r>
      <w:r>
        <w:rPr>
          <w:rFonts w:ascii="Times New Roman" w:cs="Times New Roman" w:eastAsia="Times New Roman" w:hAnsi="Times New Roman"/>
          <w:sz w:val="14"/>
          <w:szCs w:val="14"/>
          <w:color w:val="auto"/>
        </w:rPr>
        <w:t>The senior indenture provides that, except during the continuance of an event of default, the trustee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46" w:lineRule="exact"/>
        <w:rPr>
          <w:sz w:val="20"/>
          <w:szCs w:val="20"/>
          <w:color w:val="auto"/>
        </w:rPr>
      </w:pPr>
    </w:p>
    <w:p>
      <w:pPr>
        <w:ind w:left="860" w:right="939" w:firstLine="331"/>
        <w:spacing w:after="0" w:line="246" w:lineRule="auto"/>
        <w:rPr>
          <w:sz w:val="20"/>
          <w:szCs w:val="20"/>
          <w:color w:val="auto"/>
        </w:rPr>
      </w:pPr>
      <w:r>
        <w:rPr>
          <w:rFonts w:ascii="Times New Roman" w:cs="Times New Roman" w:eastAsia="Times New Roman" w:hAnsi="Times New Roman"/>
          <w:sz w:val="14"/>
          <w:szCs w:val="14"/>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We may have normal banking relationships with the senior trustee in the ordinary course of business.</w:t>
      </w:r>
    </w:p>
    <w:p>
      <w:pPr>
        <w:spacing w:after="0" w:line="161" w:lineRule="exact"/>
        <w:rPr>
          <w:sz w:val="20"/>
          <w:szCs w:val="20"/>
          <w:color w:val="auto"/>
        </w:rPr>
      </w:pPr>
    </w:p>
    <w:p>
      <w:pPr>
        <w:ind w:left="860" w:right="89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Unclaimed Funds. </w:t>
      </w:r>
      <w:r>
        <w:rPr>
          <w:rFonts w:ascii="Times New Roman" w:cs="Times New Roman" w:eastAsia="Times New Roman" w:hAnsi="Times New Roman"/>
          <w:sz w:val="14"/>
          <w:szCs w:val="14"/>
          <w:color w:val="auto"/>
        </w:rPr>
        <w:t>All funds deposited with the trustee or any paying agent for the payment of principal, premium, interest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42" w:lineRule="exact"/>
        <w:rPr>
          <w:sz w:val="20"/>
          <w:szCs w:val="20"/>
          <w:color w:val="auto"/>
        </w:rPr>
      </w:pPr>
    </w:p>
    <w:p>
      <w:pPr>
        <w:ind w:left="860" w:right="9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Governing Law. </w:t>
      </w:r>
      <w:r>
        <w:rPr>
          <w:rFonts w:ascii="Times New Roman" w:cs="Times New Roman" w:eastAsia="Times New Roman" w:hAnsi="Times New Roman"/>
          <w:sz w:val="14"/>
          <w:szCs w:val="14"/>
          <w:color w:val="auto"/>
        </w:rPr>
        <w:t>The senior indenture and the senior debt securities will be governed by, and construed in accordance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 laws of the State of New York.</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Certain Terms of the Subordinated Debt Securities</w:t>
      </w:r>
    </w:p>
    <w:p>
      <w:pPr>
        <w:spacing w:after="0" w:line="86" w:lineRule="exact"/>
        <w:rPr>
          <w:sz w:val="20"/>
          <w:szCs w:val="20"/>
          <w:color w:val="auto"/>
        </w:rPr>
      </w:pPr>
    </w:p>
    <w:p>
      <w:pPr>
        <w:jc w:val="both"/>
        <w:ind w:left="860" w:right="1119" w:firstLine="331"/>
        <w:spacing w:after="0" w:line="248" w:lineRule="auto"/>
        <w:rPr>
          <w:sz w:val="20"/>
          <w:szCs w:val="20"/>
          <w:color w:val="auto"/>
        </w:rPr>
      </w:pPr>
      <w:r>
        <w:rPr>
          <w:rFonts w:ascii="Times New Roman" w:cs="Times New Roman" w:eastAsia="Times New Roman" w:hAnsi="Times New Roman"/>
          <w:sz w:val="14"/>
          <w:szCs w:val="14"/>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Additional or different subordination terms may be specified in the prospectus supplement applicable to a particular series.</w:t>
      </w:r>
    </w:p>
    <w:p>
      <w:pPr>
        <w:spacing w:after="0" w:line="161" w:lineRule="exact"/>
        <w:rPr>
          <w:sz w:val="20"/>
          <w:szCs w:val="20"/>
          <w:color w:val="auto"/>
        </w:rPr>
      </w:pPr>
    </w:p>
    <w:p>
      <w:pPr>
        <w:ind w:left="860" w:right="959" w:firstLine="331"/>
        <w:spacing w:after="0" w:line="298" w:lineRule="auto"/>
        <w:rPr>
          <w:sz w:val="20"/>
          <w:szCs w:val="20"/>
          <w:color w:val="auto"/>
        </w:rPr>
      </w:pPr>
      <w:r>
        <w:rPr>
          <w:rFonts w:ascii="Times New Roman" w:cs="Times New Roman" w:eastAsia="Times New Roman" w:hAnsi="Times New Roman"/>
          <w:sz w:val="12"/>
          <w:szCs w:val="12"/>
          <w:i w:val="1"/>
          <w:iCs w:val="1"/>
          <w:color w:val="auto"/>
        </w:rPr>
        <w:t xml:space="preserve">Subordination. </w:t>
      </w:r>
      <w:r>
        <w:rPr>
          <w:rFonts w:ascii="Times New Roman" w:cs="Times New Roman" w:eastAsia="Times New Roman" w:hAnsi="Times New Roman"/>
          <w:sz w:val="12"/>
          <w:szCs w:val="12"/>
          <w:color w:val="auto"/>
        </w:rPr>
        <w:t>The indebtedness evidenced by the subordinated debt securities is subordinate to the prior payment in full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25" w:name="page26"/>
    <w:bookmarkEnd w:id="25"/>
    <w:p>
      <w:pPr>
        <w:ind w:left="860" w:right="979"/>
        <w:spacing w:after="0" w:line="302" w:lineRule="auto"/>
        <w:rPr>
          <w:sz w:val="20"/>
          <w:szCs w:val="20"/>
          <w:color w:val="auto"/>
        </w:rPr>
      </w:pPr>
      <w:r>
        <w:rPr>
          <w:rFonts w:ascii="Times New Roman" w:cs="Times New Roman" w:eastAsia="Times New Roman" w:hAnsi="Times New Roman"/>
          <w:sz w:val="12"/>
          <w:szCs w:val="12"/>
          <w:color w:val="auto"/>
        </w:rPr>
        <w:t>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6" w:lineRule="exact"/>
        <w:rPr>
          <w:sz w:val="20"/>
          <w:szCs w:val="20"/>
          <w:color w:val="auto"/>
        </w:rPr>
      </w:pPr>
    </w:p>
    <w:p>
      <w:pPr>
        <w:jc w:val="both"/>
        <w:ind w:left="860" w:right="919" w:firstLine="331"/>
        <w:spacing w:after="0" w:line="251" w:lineRule="auto"/>
        <w:rPr>
          <w:sz w:val="20"/>
          <w:szCs w:val="20"/>
          <w:color w:val="auto"/>
        </w:rPr>
      </w:pPr>
      <w:r>
        <w:rPr>
          <w:rFonts w:ascii="Times New Roman" w:cs="Times New Roman" w:eastAsia="Times New Roman" w:hAnsi="Times New Roman"/>
          <w:sz w:val="14"/>
          <w:szCs w:val="14"/>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2" w:lineRule="exact"/>
        <w:rPr>
          <w:sz w:val="20"/>
          <w:szCs w:val="20"/>
          <w:color w:val="auto"/>
        </w:rPr>
      </w:pPr>
    </w:p>
    <w:p>
      <w:pPr>
        <w:ind w:left="1440" w:hanging="252"/>
        <w:spacing w:after="0"/>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for money borrowed;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evidenced by notes, debentures, bonds or other securities sold by that person for money;</w:t>
      </w:r>
    </w:p>
    <w:p>
      <w:pPr>
        <w:spacing w:after="0" w:line="55" w:lineRule="exact"/>
        <w:rPr>
          <w:rFonts w:ascii="Times New Roman" w:cs="Times New Roman" w:eastAsia="Times New Roman" w:hAnsi="Times New Roman"/>
          <w:sz w:val="14"/>
          <w:szCs w:val="14"/>
          <w:color w:val="auto"/>
        </w:rPr>
      </w:pPr>
    </w:p>
    <w:p>
      <w:pPr>
        <w:ind w:left="1440" w:right="899" w:hanging="252"/>
        <w:spacing w:after="0" w:line="26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lease obligations that are capitalized on the books of that person in accordance with generally accepted accounting principles;</w:t>
      </w:r>
    </w:p>
    <w:p>
      <w:pPr>
        <w:spacing w:after="0" w:line="55" w:lineRule="exact"/>
        <w:rPr>
          <w:rFonts w:ascii="Times New Roman" w:cs="Times New Roman" w:eastAsia="Times New Roman" w:hAnsi="Times New Roman"/>
          <w:sz w:val="14"/>
          <w:szCs w:val="14"/>
          <w:color w:val="auto"/>
        </w:rPr>
      </w:pPr>
    </w:p>
    <w:p>
      <w:pPr>
        <w:ind w:left="1440" w:right="919" w:hanging="252"/>
        <w:spacing w:after="0" w:line="25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62" w:lineRule="exact"/>
        <w:rPr>
          <w:rFonts w:ascii="Times New Roman" w:cs="Times New Roman" w:eastAsia="Times New Roman" w:hAnsi="Times New Roman"/>
          <w:sz w:val="14"/>
          <w:szCs w:val="14"/>
          <w:color w:val="auto"/>
        </w:rPr>
      </w:pPr>
    </w:p>
    <w:p>
      <w:pPr>
        <w:ind w:left="1440" w:right="899" w:hanging="252"/>
        <w:spacing w:after="0" w:line="26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55" w:lineRule="exact"/>
        <w:rPr>
          <w:rFonts w:ascii="Times New Roman" w:cs="Times New Roman" w:eastAsia="Times New Roman" w:hAnsi="Times New Roman"/>
          <w:sz w:val="14"/>
          <w:szCs w:val="14"/>
          <w:color w:val="auto"/>
        </w:rPr>
      </w:pPr>
    </w:p>
    <w:p>
      <w:pPr>
        <w:ind w:left="1440" w:right="879" w:hanging="252"/>
        <w:spacing w:after="0" w:line="248"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6" w:lineRule="exact"/>
        <w:rPr>
          <w:sz w:val="20"/>
          <w:szCs w:val="20"/>
          <w:color w:val="auto"/>
        </w:rPr>
      </w:pPr>
    </w:p>
    <w:p>
      <w:pPr>
        <w:ind w:left="860" w:right="959" w:firstLine="331"/>
        <w:spacing w:after="0" w:line="297" w:lineRule="auto"/>
        <w:rPr>
          <w:sz w:val="20"/>
          <w:szCs w:val="20"/>
          <w:color w:val="auto"/>
        </w:rPr>
      </w:pPr>
      <w:r>
        <w:rPr>
          <w:rFonts w:ascii="Times New Roman" w:cs="Times New Roman" w:eastAsia="Times New Roman" w:hAnsi="Times New Roman"/>
          <w:sz w:val="12"/>
          <w:szCs w:val="12"/>
          <w:color w:val="auto"/>
        </w:rPr>
        <w:t>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38" w:lineRule="exact"/>
        <w:rPr>
          <w:sz w:val="20"/>
          <w:szCs w:val="20"/>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offering price at which we will issue, the warrants;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82" w:lineRule="exact"/>
        <w:rPr>
          <w:rFonts w:ascii="Times New Roman" w:cs="Times New Roman" w:eastAsia="Times New Roman" w:hAnsi="Times New Roman"/>
          <w:sz w:val="14"/>
          <w:szCs w:val="14"/>
          <w:color w:val="auto"/>
        </w:rPr>
      </w:pPr>
    </w:p>
    <w:p>
      <w:pPr>
        <w:ind w:left="1440" w:right="899" w:hanging="252"/>
        <w:spacing w:after="0" w:line="25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are to be sold separately or with other securities as parts of units;</w:t>
      </w:r>
    </w:p>
    <w:p>
      <w:pPr>
        <w:spacing w:after="0" w:line="82" w:lineRule="exact"/>
        <w:rPr>
          <w:rFonts w:ascii="Times New Roman" w:cs="Times New Roman" w:eastAsia="Times New Roman" w:hAnsi="Times New Roman"/>
          <w:sz w:val="14"/>
          <w:szCs w:val="14"/>
          <w:color w:val="auto"/>
        </w:rPr>
      </w:pPr>
    </w:p>
    <w:p>
      <w:pPr>
        <w:ind w:left="1440" w:right="899" w:hanging="252"/>
        <w:spacing w:after="0" w:line="345" w:lineRule="auto"/>
        <w:tabs>
          <w:tab w:leader="none" w:pos="1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8"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82" w:lineRule="exact"/>
        <w:rPr>
          <w:rFonts w:ascii="Times New Roman" w:cs="Times New Roman" w:eastAsia="Times New Roman" w:hAnsi="Times New Roman"/>
          <w:sz w:val="14"/>
          <w:szCs w:val="14"/>
          <w:color w:val="auto"/>
        </w:rPr>
      </w:pPr>
    </w:p>
    <w:p>
      <w:pPr>
        <w:ind w:left="1440" w:right="95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or other agents;</w:t>
      </w:r>
    </w:p>
    <w:p>
      <w:pPr>
        <w:spacing w:after="0" w:line="55" w:lineRule="exact"/>
        <w:rPr>
          <w:rFonts w:ascii="Times New Roman" w:cs="Times New Roman" w:eastAsia="Times New Roman" w:hAnsi="Times New Roman"/>
          <w:sz w:val="14"/>
          <w:szCs w:val="14"/>
          <w:color w:val="auto"/>
        </w:rPr>
      </w:pPr>
    </w:p>
    <w:p>
      <w:pPr>
        <w:ind w:left="1440" w:right="109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equity securities purchasable upon exercise of the warrants;</w:t>
      </w:r>
    </w:p>
    <w:p>
      <w:pPr>
        <w:spacing w:after="0" w:line="8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currency and terms of any debt securities that may be purchased upon exercise of the warrants;</w:t>
      </w:r>
    </w:p>
    <w:p>
      <w:pPr>
        <w:spacing w:after="0" w:line="55" w:lineRule="exact"/>
        <w:rPr>
          <w:rFonts w:ascii="Times New Roman" w:cs="Times New Roman" w:eastAsia="Times New Roman" w:hAnsi="Times New Roman"/>
          <w:sz w:val="14"/>
          <w:szCs w:val="14"/>
          <w:color w:val="auto"/>
        </w:rPr>
      </w:pPr>
    </w:p>
    <w:p>
      <w:pPr>
        <w:ind w:left="1440" w:right="135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preferred stock with which the warrants are issued and the number of warrants issued with each security;</w:t>
      </w:r>
    </w:p>
    <w:p>
      <w:pPr>
        <w:spacing w:after="0" w:line="55" w:lineRule="exact"/>
        <w:rPr>
          <w:rFonts w:ascii="Times New Roman" w:cs="Times New Roman" w:eastAsia="Times New Roman" w:hAnsi="Times New Roman"/>
          <w:sz w:val="14"/>
          <w:szCs w:val="14"/>
          <w:color w:val="auto"/>
        </w:rPr>
      </w:pPr>
    </w:p>
    <w:p>
      <w:pPr>
        <w:ind w:left="1440" w:right="107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any warrants issued as part of a unit and the related debt securities, preferred stock, or common stock will be separately transferable;</w:t>
      </w:r>
    </w:p>
    <w:p>
      <w:pPr>
        <w:spacing w:after="0" w:line="55"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preferred stock purchasable upon exercise of a warrant and the price at which those shares may be purchased;</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82" w:lineRule="exact"/>
        <w:rPr>
          <w:rFonts w:ascii="Times New Roman" w:cs="Times New Roman" w:eastAsia="Times New Roman" w:hAnsi="Times New Roman"/>
          <w:sz w:val="14"/>
          <w:szCs w:val="14"/>
          <w:color w:val="auto"/>
        </w:rPr>
      </w:pPr>
    </w:p>
    <w:p>
      <w:pPr>
        <w:ind w:left="1440" w:right="109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and other provisions for changes to or adjustment in the exercise price of, the warrants, if any;</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 and</w:t>
      </w:r>
    </w:p>
    <w:p>
      <w:pPr>
        <w:spacing w:after="0" w:line="82" w:lineRule="exact"/>
        <w:rPr>
          <w:rFonts w:ascii="Times New Roman" w:cs="Times New Roman" w:eastAsia="Times New Roman" w:hAnsi="Times New Roman"/>
          <w:sz w:val="14"/>
          <w:szCs w:val="14"/>
          <w:color w:val="auto"/>
        </w:rPr>
      </w:pPr>
    </w:p>
    <w:p>
      <w:pPr>
        <w:ind w:left="1440" w:right="93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or exercise of the warrants.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27" w:name="page28"/>
    <w:bookmarkEnd w:id="27"/>
    <w:p>
      <w:pPr>
        <w:ind w:left="860"/>
        <w:spacing w:after="0"/>
        <w:rPr>
          <w:sz w:val="20"/>
          <w:szCs w:val="20"/>
          <w:color w:val="auto"/>
        </w:rPr>
      </w:pPr>
      <w:r>
        <w:rPr>
          <w:rFonts w:ascii="Times New Roman" w:cs="Times New Roman" w:eastAsia="Times New Roman" w:hAnsi="Times New Roman"/>
          <w:sz w:val="14"/>
          <w:szCs w:val="14"/>
          <w:b w:val="1"/>
          <w:bCs w:val="1"/>
          <w:color w:val="auto"/>
        </w:rPr>
        <w:t>Prefunded Warrants</w:t>
      </w:r>
    </w:p>
    <w:p>
      <w:pPr>
        <w:spacing w:after="0" w:line="86" w:lineRule="exact"/>
        <w:rPr>
          <w:sz w:val="20"/>
          <w:szCs w:val="20"/>
          <w:color w:val="auto"/>
        </w:rPr>
      </w:pPr>
    </w:p>
    <w:p>
      <w:pPr>
        <w:ind w:left="860" w:right="1019" w:firstLine="331"/>
        <w:spacing w:after="0" w:line="246" w:lineRule="auto"/>
        <w:rPr>
          <w:sz w:val="20"/>
          <w:szCs w:val="20"/>
          <w:color w:val="auto"/>
        </w:rPr>
      </w:pPr>
      <w:r>
        <w:rPr>
          <w:rFonts w:ascii="Times New Roman" w:cs="Times New Roman" w:eastAsia="Times New Roman" w:hAnsi="Times New Roman"/>
          <w:sz w:val="14"/>
          <w:szCs w:val="14"/>
          <w:color w:val="auto"/>
        </w:rPr>
        <w:t>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w:t>
      </w:r>
    </w:p>
    <w:p>
      <w:pPr>
        <w:spacing w:after="0" w:line="66" w:lineRule="exact"/>
        <w:rPr>
          <w:sz w:val="20"/>
          <w:szCs w:val="20"/>
          <w:color w:val="auto"/>
        </w:rPr>
      </w:pPr>
    </w:p>
    <w:p>
      <w:pPr>
        <w:ind w:left="1440" w:right="899" w:hanging="252"/>
        <w:spacing w:after="0" w:line="261" w:lineRule="auto"/>
        <w:tabs>
          <w:tab w:leader="none" w:pos="1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pre-funded warrants will begin, generally on the date of issuance, and the date on which that right will expire, generally when the prefunded warrant is exercised in full;</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 may only be exercised pursuant to a cashless exercise procedure;</w:t>
      </w:r>
    </w:p>
    <w:p>
      <w:pPr>
        <w:spacing w:after="0" w:line="82" w:lineRule="exact"/>
        <w:rPr>
          <w:rFonts w:ascii="Times New Roman" w:cs="Times New Roman" w:eastAsia="Times New Roman" w:hAnsi="Times New Roman"/>
          <w:sz w:val="14"/>
          <w:szCs w:val="14"/>
          <w:color w:val="auto"/>
        </w:rPr>
      </w:pPr>
    </w:p>
    <w:p>
      <w:pPr>
        <w:ind w:left="1440" w:right="899" w:hanging="252"/>
        <w:spacing w:after="0" w:line="297" w:lineRule="auto"/>
        <w:tabs>
          <w:tab w:leader="none" w:pos="1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w:t>
      </w:r>
    </w:p>
    <w:p>
      <w:pPr>
        <w:spacing w:after="0" w:line="37" w:lineRule="exact"/>
        <w:rPr>
          <w:rFonts w:ascii="Times New Roman" w:cs="Times New Roman" w:eastAsia="Times New Roman" w:hAnsi="Times New Roman"/>
          <w:sz w:val="12"/>
          <w:szCs w:val="12"/>
          <w:color w:val="auto"/>
        </w:rPr>
      </w:pPr>
    </w:p>
    <w:p>
      <w:pPr>
        <w:ind w:left="1440" w:right="899" w:hanging="252"/>
        <w:spacing w:after="0" w:line="292" w:lineRule="auto"/>
        <w:tabs>
          <w:tab w:leader="none" w:pos="1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fundamental transaction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shares, or any person or group becoming the beneficial owner of more than 50% of the voting power of our outstanding shares),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w:t>
      </w:r>
    </w:p>
    <w:p>
      <w:pPr>
        <w:spacing w:after="0" w:line="40" w:lineRule="exact"/>
        <w:rPr>
          <w:rFonts w:ascii="Times New Roman" w:cs="Times New Roman" w:eastAsia="Times New Roman" w:hAnsi="Times New Roman"/>
          <w:sz w:val="12"/>
          <w:szCs w:val="12"/>
          <w:color w:val="auto"/>
        </w:rPr>
      </w:pPr>
    </w:p>
    <w:p>
      <w:pPr>
        <w:ind w:left="1440" w:right="939" w:hanging="252"/>
        <w:spacing w:after="0" w:line="261" w:lineRule="auto"/>
        <w:tabs>
          <w:tab w:leader="none" w:pos="1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or exercise of the prefunded warrants.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34"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67"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62" w:lineRule="exact"/>
        <w:rPr>
          <w:sz w:val="20"/>
          <w:szCs w:val="20"/>
          <w:color w:val="auto"/>
        </w:rPr>
      </w:pPr>
    </w:p>
    <w:p>
      <w:pPr>
        <w:ind w:left="1440" w:right="1159" w:hanging="252"/>
        <w:spacing w:after="0" w:line="261" w:lineRule="auto"/>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the terms of the units and of the securities constituting the units, including whether and under what circumstances the securities comprising the units may be traded separately;</w:t>
      </w:r>
    </w:p>
    <w:p>
      <w:pPr>
        <w:spacing w:after="0" w:line="55"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any unit agent for the units, if applicable, and of any other depositaries, execution or paying agents, transfer agents, registrars or other agents;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governing unit agreement, if applicable;</w:t>
      </w:r>
    </w:p>
    <w:p>
      <w:pPr>
        <w:spacing w:after="0" w:line="82" w:lineRule="exact"/>
        <w:rPr>
          <w:rFonts w:ascii="Times New Roman" w:cs="Times New Roman" w:eastAsia="Times New Roman" w:hAnsi="Times New Roman"/>
          <w:sz w:val="14"/>
          <w:szCs w:val="14"/>
          <w:color w:val="auto"/>
        </w:rPr>
      </w:pPr>
    </w:p>
    <w:p>
      <w:pPr>
        <w:ind w:left="1440" w:right="1039" w:hanging="252"/>
        <w:spacing w:after="0" w:line="261" w:lineRule="auto"/>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provisions for the issuance, payment, settlement, transfer or exchange of the units or of the debt securities, common stock, preferred stock or warrants constituting the unit; and</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FORMS OF SECURITIES</w:t>
      </w:r>
    </w:p>
    <w:p>
      <w:pPr>
        <w:spacing w:after="0" w:line="167"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Each debt security,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6" w:lineRule="exact"/>
        <w:rPr>
          <w:sz w:val="20"/>
          <w:szCs w:val="20"/>
          <w:color w:val="auto"/>
        </w:rPr>
      </w:pPr>
    </w:p>
    <w:p>
      <w:pPr>
        <w:ind w:left="860" w:right="899" w:firstLine="331"/>
        <w:spacing w:after="0" w:line="244" w:lineRule="auto"/>
        <w:rPr>
          <w:sz w:val="20"/>
          <w:szCs w:val="20"/>
          <w:color w:val="auto"/>
        </w:rPr>
      </w:pPr>
      <w:r>
        <w:rPr>
          <w:rFonts w:ascii="Times New Roman" w:cs="Times New Roman" w:eastAsia="Times New Roman" w:hAnsi="Times New Roman"/>
          <w:sz w:val="14"/>
          <w:szCs w:val="14"/>
          <w:color w:val="auto"/>
        </w:rPr>
        <w:t>We may issue the debt securities of a particular series,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51" w:lineRule="exact"/>
        <w:rPr>
          <w:sz w:val="20"/>
          <w:szCs w:val="20"/>
          <w:color w:val="auto"/>
        </w:rPr>
      </w:pPr>
    </w:p>
    <w:p>
      <w:pPr>
        <w:ind w:left="860" w:right="959" w:firstLine="331"/>
        <w:spacing w:after="0" w:line="251"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3"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48" w:lineRule="exact"/>
        <w:rPr>
          <w:sz w:val="20"/>
          <w:szCs w:val="20"/>
          <w:color w:val="auto"/>
        </w:rPr>
      </w:pPr>
    </w:p>
    <w:p>
      <w:pPr>
        <w:ind w:left="860" w:right="939" w:firstLine="331"/>
        <w:spacing w:after="0" w:line="243"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global security desires to give or take any action that a holder is entitled to give or take under the applicable indenture, 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9" w:lineRule="exact"/>
        <w:rPr>
          <w:sz w:val="20"/>
          <w:szCs w:val="20"/>
          <w:color w:val="auto"/>
        </w:rPr>
      </w:pPr>
    </w:p>
    <w:p>
      <w:pPr>
        <w:ind w:left="860" w:right="1059" w:firstLine="331"/>
        <w:spacing w:after="0" w:line="245" w:lineRule="auto"/>
        <w:rPr>
          <w:sz w:val="20"/>
          <w:szCs w:val="20"/>
          <w:color w:val="auto"/>
        </w:rPr>
      </w:pPr>
      <w:r>
        <w:rPr>
          <w:rFonts w:ascii="Times New Roman" w:cs="Times New Roman" w:eastAsia="Times New Roman" w:hAnsi="Times New Roman"/>
          <w:sz w:val="14"/>
          <w:szCs w:val="14"/>
          <w:color w:val="auto"/>
        </w:rPr>
        <w:t>Principal, premium, if any, and interest payments on debt securities, and any payments to holders with respect to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0" w:name="page31"/>
    <w:bookmarkEnd w:id="30"/>
    <w:p>
      <w:pPr>
        <w:ind w:left="860" w:right="919" w:firstLine="331"/>
        <w:spacing w:after="0" w:line="294" w:lineRule="auto"/>
        <w:rPr>
          <w:sz w:val="20"/>
          <w:szCs w:val="20"/>
          <w:color w:val="auto"/>
        </w:rPr>
      </w:pPr>
      <w:r>
        <w:rPr>
          <w:rFonts w:ascii="Times New Roman" w:cs="Times New Roman" w:eastAsia="Times New Roman" w:hAnsi="Times New Roman"/>
          <w:sz w:val="12"/>
          <w:szCs w:val="12"/>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20" w:lineRule="exact"/>
        <w:rPr>
          <w:sz w:val="20"/>
          <w:szCs w:val="20"/>
          <w:color w:val="auto"/>
        </w:rPr>
      </w:pPr>
    </w:p>
    <w:p>
      <w:pPr>
        <w:ind w:left="860" w:right="979" w:firstLine="331"/>
        <w:spacing w:after="0" w:line="292" w:lineRule="auto"/>
        <w:rPr>
          <w:sz w:val="20"/>
          <w:szCs w:val="20"/>
          <w:color w:val="auto"/>
        </w:rPr>
      </w:pPr>
      <w:r>
        <w:rPr>
          <w:rFonts w:ascii="Times New Roman" w:cs="Times New Roman" w:eastAsia="Times New Roman" w:hAnsi="Times New Roman"/>
          <w:sz w:val="12"/>
          <w:szCs w:val="12"/>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We may sell securities:</w:t>
      </w:r>
    </w:p>
    <w:p>
      <w:pPr>
        <w:spacing w:after="0" w:line="82" w:lineRule="exact"/>
        <w:rPr>
          <w:sz w:val="20"/>
          <w:szCs w:val="20"/>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63" w:lineRule="exact"/>
        <w:rPr>
          <w:sz w:val="20"/>
          <w:szCs w:val="20"/>
          <w:color w:val="auto"/>
        </w:rPr>
      </w:pPr>
    </w:p>
    <w:p>
      <w:pPr>
        <w:ind w:left="860" w:right="919" w:firstLine="331"/>
        <w:spacing w:after="0" w:line="251" w:lineRule="auto"/>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43" w:lineRule="exact"/>
        <w:rPr>
          <w:sz w:val="20"/>
          <w:szCs w:val="20"/>
          <w:color w:val="auto"/>
        </w:rPr>
      </w:pPr>
    </w:p>
    <w:p>
      <w:pPr>
        <w:ind w:left="860" w:right="939" w:firstLine="331"/>
        <w:spacing w:after="0" w:line="248"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82" w:lineRule="exact"/>
        <w:rPr>
          <w:sz w:val="20"/>
          <w:szCs w:val="20"/>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63" w:lineRule="exact"/>
        <w:rPr>
          <w:sz w:val="20"/>
          <w:szCs w:val="20"/>
          <w:color w:val="auto"/>
        </w:rPr>
      </w:pPr>
    </w:p>
    <w:p>
      <w:pPr>
        <w:ind w:left="860" w:right="1239" w:firstLine="331"/>
        <w:spacing w:after="0" w:line="261"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55" w:lineRule="exact"/>
        <w:rPr>
          <w:sz w:val="20"/>
          <w:szCs w:val="20"/>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 and the proceeds we will receive from the sale of the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the agent or underwriters;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dealers;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63" w:lineRule="exact"/>
        <w:rPr>
          <w:sz w:val="20"/>
          <w:szCs w:val="20"/>
          <w:color w:val="auto"/>
        </w:rPr>
      </w:pPr>
    </w:p>
    <w:p>
      <w:pPr>
        <w:ind w:left="860" w:right="959" w:firstLine="331"/>
        <w:spacing w:after="0" w:line="313" w:lineRule="auto"/>
        <w:rPr>
          <w:sz w:val="20"/>
          <w:szCs w:val="20"/>
          <w:color w:val="auto"/>
        </w:rPr>
      </w:pPr>
      <w:r>
        <w:rPr>
          <w:rFonts w:ascii="Times New Roman" w:cs="Times New Roman" w:eastAsia="Times New Roman" w:hAnsi="Times New Roman"/>
          <w:sz w:val="12"/>
          <w:szCs w:val="12"/>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43"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2" w:name="page33"/>
    <w:bookmarkEnd w:id="32"/>
    <w:p>
      <w:pPr>
        <w:ind w:left="860" w:right="899" w:firstLine="331"/>
        <w:spacing w:after="0" w:line="251" w:lineRule="auto"/>
        <w:rPr>
          <w:sz w:val="20"/>
          <w:szCs w:val="20"/>
          <w:color w:val="auto"/>
        </w:rPr>
      </w:pPr>
      <w:r>
        <w:rPr>
          <w:rFonts w:ascii="Times New Roman" w:cs="Times New Roman" w:eastAsia="Times New Roman" w:hAnsi="Times New Roman"/>
          <w:sz w:val="14"/>
          <w:szCs w:val="14"/>
          <w:color w:val="auto"/>
        </w:rPr>
        <w:t>Remarketing firms, agents, underwriters, dealers and other persons may be entitled under agreements that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3"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440" w:right="1139" w:hanging="252"/>
        <w:spacing w:after="0" w:line="261" w:lineRule="auto"/>
        <w:tabs>
          <w:tab w:leader="none" w:pos="1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55" w:lineRule="exact"/>
        <w:rPr>
          <w:rFonts w:ascii="Times New Roman" w:cs="Times New Roman" w:eastAsia="Times New Roman" w:hAnsi="Times New Roman"/>
          <w:sz w:val="14"/>
          <w:szCs w:val="14"/>
          <w:color w:val="auto"/>
        </w:rPr>
      </w:pPr>
    </w:p>
    <w:p>
      <w:pPr>
        <w:jc w:val="both"/>
        <w:ind w:left="1440" w:right="1079" w:hanging="252"/>
        <w:spacing w:after="0" w:line="251" w:lineRule="auto"/>
        <w:tabs>
          <w:tab w:leader="none" w:pos="1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3" w:lineRule="exact"/>
        <w:rPr>
          <w:sz w:val="20"/>
          <w:szCs w:val="20"/>
          <w:color w:val="auto"/>
        </w:rPr>
      </w:pPr>
    </w:p>
    <w:p>
      <w:pPr>
        <w:jc w:val="both"/>
        <w:ind w:left="860" w:right="999" w:firstLine="331"/>
        <w:spacing w:after="0" w:line="251"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43" w:lineRule="exact"/>
        <w:rPr>
          <w:sz w:val="20"/>
          <w:szCs w:val="20"/>
          <w:color w:val="auto"/>
        </w:rPr>
      </w:pPr>
    </w:p>
    <w:p>
      <w:pPr>
        <w:ind w:left="860" w:right="919" w:firstLine="331"/>
        <w:spacing w:after="0" w:line="243"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53" w:lineRule="exact"/>
        <w:rPr>
          <w:sz w:val="20"/>
          <w:szCs w:val="20"/>
          <w:color w:val="auto"/>
        </w:rPr>
      </w:pPr>
    </w:p>
    <w:p>
      <w:pPr>
        <w:ind w:left="860" w:right="979" w:firstLine="331"/>
        <w:spacing w:after="0" w:line="294" w:lineRule="auto"/>
        <w:rPr>
          <w:sz w:val="20"/>
          <w:szCs w:val="20"/>
          <w:color w:val="auto"/>
        </w:rPr>
      </w:pPr>
      <w:r>
        <w:rPr>
          <w:rFonts w:ascii="Times New Roman" w:cs="Times New Roman" w:eastAsia="Times New Roman" w:hAnsi="Times New Roman"/>
          <w:sz w:val="12"/>
          <w:szCs w:val="12"/>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20" w:lineRule="exact"/>
        <w:rPr>
          <w:sz w:val="20"/>
          <w:szCs w:val="20"/>
          <w:color w:val="auto"/>
        </w:rPr>
      </w:pPr>
    </w:p>
    <w:p>
      <w:pPr>
        <w:ind w:left="860" w:right="939" w:firstLine="331"/>
        <w:spacing w:after="0" w:line="251"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7" w:lineRule="exact"/>
        <w:rPr>
          <w:sz w:val="20"/>
          <w:szCs w:val="20"/>
          <w:color w:val="auto"/>
        </w:rPr>
      </w:pPr>
    </w:p>
    <w:p>
      <w:pPr>
        <w:ind w:left="860" w:right="1479" w:firstLine="331"/>
        <w:spacing w:after="0" w:line="261"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the securities in respect of which this prospectus is being delivered will be passed upon by Wilmer Cutler Pickering Hale and Dorr LLP.</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7"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The consolidated financial statements of Xilio Therapeutics, Inc. appearing in Xilio Therapeutics, Inc.’s Annual Report (Form 10-K) for the year ended December 31, 2025,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1458595</wp:posOffset>
            </wp:positionH>
            <wp:positionV relativeFrom="page">
              <wp:posOffset>635635</wp:posOffset>
            </wp:positionV>
            <wp:extent cx="4631690"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4631690" cy="12700"/>
                    </a:xfrm>
                    <a:prstGeom prst="rect">
                      <a:avLst/>
                    </a:prstGeom>
                    <a:noFill/>
                  </pic:spPr>
                </pic:pic>
              </a:graphicData>
            </a:graphic>
          </wp:anchor>
        </w:drawing>
        <w:drawing>
          <wp:anchor simplePos="0" relativeHeight="251657728" behindDoc="1" locked="0" layoutInCell="0" allowOverlap="1">
            <wp:simplePos x="0" y="0"/>
            <wp:positionH relativeFrom="page">
              <wp:posOffset>1458595</wp:posOffset>
            </wp:positionH>
            <wp:positionV relativeFrom="page">
              <wp:posOffset>764540</wp:posOffset>
            </wp:positionV>
            <wp:extent cx="463169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page">
              <wp:posOffset>3176270</wp:posOffset>
            </wp:positionH>
            <wp:positionV relativeFrom="page">
              <wp:posOffset>1021715</wp:posOffset>
            </wp:positionV>
            <wp:extent cx="1196340" cy="655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96340"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$250,000,000</w:t>
      </w:r>
    </w:p>
    <w:p>
      <w:pPr>
        <w:spacing w:after="0" w:line="3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360680</wp:posOffset>
            </wp:positionV>
            <wp:extent cx="463169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245110</wp:posOffset>
            </wp:positionV>
            <wp:extent cx="463169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1130935</wp:posOffset>
            </wp:positionV>
            <wp:extent cx="528764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429260</wp:posOffset>
            </wp:positionV>
            <wp:extent cx="463169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558165</wp:posOffset>
            </wp:positionV>
            <wp:extent cx="463169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4631690" cy="127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jc w:val="both"/>
        <w:ind w:left="860" w:right="899"/>
        <w:spacing w:after="0" w:line="317" w:lineRule="auto"/>
        <w:rPr>
          <w:sz w:val="20"/>
          <w:szCs w:val="20"/>
          <w:color w:val="auto"/>
        </w:rPr>
      </w:pPr>
      <w:r>
        <w:rPr>
          <w:rFonts w:ascii="Times New Roman" w:cs="Times New Roman" w:eastAsia="Times New Roman" w:hAnsi="Times New Roman"/>
          <w:sz w:val="12"/>
          <w:szCs w:val="12"/>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22" w:lineRule="exact"/>
        <w:rPr>
          <w:sz w:val="20"/>
          <w:szCs w:val="20"/>
          <w:color w:val="auto"/>
        </w:rPr>
      </w:pPr>
    </w:p>
    <w:p>
      <w:pPr>
        <w:ind w:left="86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 xml:space="preserve">PROSPECTUS </w:t>
      </w:r>
      <w:r>
        <w:rPr>
          <w:rFonts w:ascii="Times New Roman" w:cs="Times New Roman" w:eastAsia="Times New Roman" w:hAnsi="Times New Roman"/>
          <w:sz w:val="14"/>
          <w:szCs w:val="14"/>
          <w:b w:val="1"/>
          <w:bCs w:val="1"/>
          <w:color w:val="FF0000"/>
        </w:rPr>
        <w:t>(Subject to Completion)</w:t>
      </w:r>
      <w:r>
        <w:rPr>
          <w:sz w:val="20"/>
          <w:szCs w:val="20"/>
          <w:color w:val="auto"/>
        </w:rPr>
        <w:tab/>
      </w:r>
      <w:r>
        <w:rPr>
          <w:rFonts w:ascii="Times New Roman" w:cs="Times New Roman" w:eastAsia="Times New Roman" w:hAnsi="Times New Roman"/>
          <w:sz w:val="12"/>
          <w:szCs w:val="12"/>
          <w:b w:val="1"/>
          <w:bCs w:val="1"/>
          <w:color w:val="FF4338"/>
        </w:rPr>
        <w:t>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127000</wp:posOffset>
            </wp:positionV>
            <wp:extent cx="1299210" cy="662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29921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b w:val="1"/>
          <w:bCs w:val="1"/>
          <w:color w:val="auto"/>
        </w:rPr>
        <w:t>Up to $14,500,000</w:t>
      </w:r>
    </w:p>
    <w:p>
      <w:pPr>
        <w:spacing w:after="0" w:line="16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137795</wp:posOffset>
            </wp:positionV>
            <wp:extent cx="463169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77" w:lineRule="exact"/>
        <w:rPr>
          <w:sz w:val="20"/>
          <w:szCs w:val="20"/>
          <w:color w:val="auto"/>
        </w:rPr>
      </w:pPr>
    </w:p>
    <w:p>
      <w:pPr>
        <w:ind w:left="860" w:right="879" w:firstLine="331"/>
        <w:spacing w:after="0" w:line="290" w:lineRule="auto"/>
        <w:rPr>
          <w:sz w:val="20"/>
          <w:szCs w:val="20"/>
          <w:color w:val="auto"/>
        </w:rPr>
      </w:pPr>
      <w:r>
        <w:rPr>
          <w:rFonts w:ascii="Times New Roman" w:cs="Times New Roman" w:eastAsia="Times New Roman" w:hAnsi="Times New Roman"/>
          <w:sz w:val="12"/>
          <w:szCs w:val="12"/>
          <w:color w:val="auto"/>
        </w:rPr>
        <w:t>We have previously entered into a sales agreement (sales agreement) with Leerink Partners LLC (Leerink Partners) dated March 11, 2025, relating to shares of our common stock offered by this prospectus. In accordance with the terms of the sales agreement, pursuant to this prospectus, we may offer and sell shares of our common stock, par value $0.0001 per share, having an aggregate offering price of up to $14,500,000 from time to time through Leerink Partners acting as our agent. As of the date of this prospectus, we have issued and sold shares of our common stock for aggregate gross sale proceeds of $4,596,248 pursuant to the sales agreement and a prior prospectus supplement dated March 11, 2025 and an accompanying prospectus dated November 18, 2022 (collectively, the prior prospectus). Upon effectiveness of the registration statement of which this prospectus forms a part, we will not make any further offers or sales of our common stock in accordance with the sales agreement pursuant to any prior prospectus.</w:t>
      </w:r>
    </w:p>
    <w:p>
      <w:pPr>
        <w:spacing w:after="0" w:line="125" w:lineRule="exact"/>
        <w:rPr>
          <w:sz w:val="20"/>
          <w:szCs w:val="20"/>
          <w:color w:val="auto"/>
        </w:rPr>
      </w:pPr>
    </w:p>
    <w:p>
      <w:pPr>
        <w:ind w:left="860" w:right="1039" w:firstLine="331"/>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“XLO.” On May 26, 2026, the last reported sale price of our common stock on The Nasdaq Capital Market was $8.35 per share.</w:t>
      </w:r>
    </w:p>
    <w:p>
      <w:pPr>
        <w:spacing w:after="0" w:line="13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Sales of our common stock, if any, under this prospectus will be made in sales deemed to be “at the market offerings” as defined in Rule 415(a)(4) promulgated under the Securities Act of 1933, as amended (the Securities Act). Leerink Partners is not required to sell any specific amount of securities, but will act as our sales agent using commercially reasonable efforts consistent with its normal trading and sales practices, on mutually agreed terms between Leerink Partners and us. There is no arrangement for funds to be received in any escrow, trust or similar arrangement.</w:t>
      </w:r>
    </w:p>
    <w:p>
      <w:pPr>
        <w:spacing w:after="0" w:line="148" w:lineRule="exact"/>
        <w:rPr>
          <w:sz w:val="20"/>
          <w:szCs w:val="20"/>
          <w:color w:val="auto"/>
        </w:rPr>
      </w:pPr>
    </w:p>
    <w:p>
      <w:pPr>
        <w:ind w:left="860" w:right="1059" w:firstLine="331"/>
        <w:spacing w:after="0" w:line="244" w:lineRule="auto"/>
        <w:rPr>
          <w:sz w:val="20"/>
          <w:szCs w:val="20"/>
          <w:color w:val="auto"/>
        </w:rPr>
      </w:pPr>
      <w:r>
        <w:rPr>
          <w:rFonts w:ascii="Times New Roman" w:cs="Times New Roman" w:eastAsia="Times New Roman" w:hAnsi="Times New Roman"/>
          <w:sz w:val="14"/>
          <w:szCs w:val="14"/>
          <w:color w:val="auto"/>
        </w:rPr>
        <w:t>The compensation to Leerink Partners for sales of common stock pursuant to the sales agreement will be 3.0% of the gross proceeds of any shares of common stock sold under the sales agreement. In connection with the sale of the common stock on our behalf, Leerink Partners will be deemed to be an “underwriter” within the meaning of the Securities Act and the compensation of Leerink Partners will be deemed to be underwriting commissions or discounts. We have also agreed to provide indemnification and contribution to Leerink Partners with respect to certain liabilities, including liabilities under the Securities Act or the Securities Exchange Act of 1934, as amended (the Exchange Act). See “Plan of Distribution” beginning on page SA-14 for additional information regarding the compensation to be paid to Leerink Partners.</w:t>
      </w:r>
    </w:p>
    <w:p>
      <w:pPr>
        <w:spacing w:after="0" w:line="151"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Pursuant to General Instruction I.B.6 of Form S-3, in no event will we sell our common stock in a public primary offering with a value exceeding more than one-third of our public float in any 12-month period so long as our public float remains below $75.0 million. As of May 26, 2026, the aggregate market value of our outstanding common stock held by non-affiliates, or public float, was approximately $57,598,009, which we calculated based on 6,575,139 shares of outstanding common stock as of May 26, 2026, of which 6,537,799 shares were held by non-affiliates on such date and a price of $8.81 per share, which was the price at which our common stock was last sold on The Nasdaq Capital Market on May 14, 2026, calculated in accordance with General Instruction I.B.6 of Form S-3. During the 12 calendar months prior to and including the date of this prospectus, we have not offered or sold any securities pursuant to General Instruction I.B.6 of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547370</wp:posOffset>
            </wp:positionV>
            <wp:extent cx="528764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5" w:name="page36"/>
    <w:bookmarkEnd w:id="35"/>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As a result of the limitations of General Instruction I.B.6 of Form S-3, we are registering the offer and sale of shares of our common stock having an aggregate offering price of up to $14,500,000 from time to time through Leerink Partners. If our public float increases such that we may sell additional amounts under the sales agreement and the registration statement of which this prospectus is a part, we will file a prospectus supplement prior to selling such additional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119380</wp:posOffset>
            </wp:positionV>
            <wp:extent cx="463169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38" w:lineRule="exact"/>
        <w:rPr>
          <w:sz w:val="20"/>
          <w:szCs w:val="20"/>
          <w:color w:val="auto"/>
        </w:rPr>
      </w:pPr>
    </w:p>
    <w:p>
      <w:pPr>
        <w:jc w:val="both"/>
        <w:ind w:left="860" w:right="899" w:firstLine="331"/>
        <w:spacing w:after="0" w:line="256"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a high degree of risk. Before making an investment decision, please read the information under the heading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beginning on page SA-5 of this prospectus and in the documents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116840</wp:posOffset>
            </wp:positionV>
            <wp:extent cx="463169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39" w:lineRule="exact"/>
        <w:rPr>
          <w:sz w:val="20"/>
          <w:szCs w:val="20"/>
          <w:color w:val="auto"/>
        </w:rPr>
      </w:pPr>
    </w:p>
    <w:p>
      <w:pPr>
        <w:jc w:val="both"/>
        <w:ind w:left="860" w:right="1019" w:firstLine="331"/>
        <w:spacing w:after="0" w:line="25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564515</wp:posOffset>
            </wp:positionV>
            <wp:extent cx="528764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36" w:name="page37"/>
    <w:bookmarkEnd w:id="36"/>
    <w:tbl>
      <w:tblPr>
        <w:tblLayout w:type="fixed"/>
        <w:tblInd w:w="36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140" w:type="dxa"/>
            <w:vAlign w:val="bottom"/>
          </w:tcPr>
          <w:p>
            <w:pPr>
              <w:spacing w:after="0"/>
              <w:rPr>
                <w:sz w:val="15"/>
                <w:szCs w:val="15"/>
                <w:color w:val="auto"/>
              </w:rPr>
            </w:pPr>
          </w:p>
        </w:tc>
      </w:tr>
      <w:tr>
        <w:trPr>
          <w:trHeight w:val="315"/>
        </w:trPr>
        <w:tc>
          <w:tcPr>
            <w:tcW w:w="500" w:type="dxa"/>
            <w:vAlign w:val="bottom"/>
          </w:tcPr>
          <w:p>
            <w:pPr>
              <w:spacing w:after="0"/>
              <w:rPr>
                <w:sz w:val="24"/>
                <w:szCs w:val="24"/>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ABOUT THIS PROSPECTUS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25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FF"/>
                <w:w w:val="95"/>
              </w:rPr>
              <w:t>MARKET, INDUSTRY AND OTHER DATA</w:t>
            </w:r>
          </w:p>
        </w:tc>
        <w:tc>
          <w:tcPr>
            <w:tcW w:w="3100" w:type="dxa"/>
            <w:vAlign w:val="bottom"/>
            <w:gridSpan w:val="3"/>
          </w:tcPr>
          <w:p>
            <w:pPr>
              <w:spacing w:after="0"/>
              <w:rPr>
                <w:sz w:val="19"/>
                <w:szCs w:val="19"/>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SA-2</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PROSPECTUS SUMMARY</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SA-3</w:t>
            </w:r>
          </w:p>
        </w:tc>
      </w:tr>
      <w:tr>
        <w:trPr>
          <w:trHeight w:val="193"/>
        </w:trPr>
        <w:tc>
          <w:tcPr>
            <w:tcW w:w="500" w:type="dxa"/>
            <w:vAlign w:val="bottom"/>
          </w:tcPr>
          <w:p>
            <w:pPr>
              <w:spacing w:after="0"/>
              <w:rPr>
                <w:sz w:val="16"/>
                <w:szCs w:val="16"/>
                <w:color w:val="auto"/>
              </w:rPr>
            </w:pPr>
          </w:p>
        </w:tc>
        <w:tc>
          <w:tcPr>
            <w:tcW w:w="9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FF"/>
                <w:w w:val="94"/>
              </w:rPr>
              <w:t>THE OFFERING</w:t>
            </w:r>
          </w:p>
        </w:tc>
        <w:tc>
          <w:tcPr>
            <w:tcW w:w="600" w:type="dxa"/>
            <w:vAlign w:val="bottom"/>
            <w:tcBorders>
              <w:top w:val="single" w:sz="8" w:color="0000EE"/>
            </w:tcBorders>
            <w:gridSpan w:val="4"/>
          </w:tcPr>
          <w:p>
            <w:pPr>
              <w:spacing w:after="0"/>
              <w:rPr>
                <w:sz w:val="16"/>
                <w:szCs w:val="16"/>
                <w:color w:val="auto"/>
              </w:rPr>
            </w:pPr>
          </w:p>
        </w:tc>
        <w:tc>
          <w:tcPr>
            <w:tcW w:w="4080" w:type="dxa"/>
            <w:vAlign w:val="bottom"/>
            <w:gridSpan w:val="7"/>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SA-4</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SA-5</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SA-7</w:t>
            </w:r>
          </w:p>
        </w:tc>
      </w:tr>
      <w:tr>
        <w:trPr>
          <w:trHeight w:val="193"/>
        </w:trPr>
        <w:tc>
          <w:tcPr>
            <w:tcW w:w="500" w:type="dxa"/>
            <w:vAlign w:val="bottom"/>
          </w:tcPr>
          <w:p>
            <w:pPr>
              <w:spacing w:after="0"/>
              <w:rPr>
                <w:sz w:val="16"/>
                <w:szCs w:val="16"/>
                <w:color w:val="auto"/>
              </w:rPr>
            </w:pPr>
          </w:p>
        </w:tc>
        <w:tc>
          <w:tcPr>
            <w:tcW w:w="40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1600" w:type="dxa"/>
            <w:vAlign w:val="bottom"/>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SA-8</w:t>
            </w:r>
          </w:p>
        </w:tc>
      </w:tr>
      <w:tr>
        <w:trPr>
          <w:trHeight w:val="193"/>
        </w:trPr>
        <w:tc>
          <w:tcPr>
            <w:tcW w:w="500" w:type="dxa"/>
            <w:vAlign w:val="bottom"/>
          </w:tcPr>
          <w:p>
            <w:pPr>
              <w:spacing w:after="0"/>
              <w:rPr>
                <w:sz w:val="16"/>
                <w:szCs w:val="16"/>
                <w:color w:val="auto"/>
              </w:rPr>
            </w:pPr>
          </w:p>
        </w:tc>
        <w:tc>
          <w:tcPr>
            <w:tcW w:w="11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FF"/>
              </w:rPr>
              <w:t>DILUTION</w:t>
            </w:r>
          </w:p>
        </w:tc>
        <w:tc>
          <w:tcPr>
            <w:tcW w:w="4460" w:type="dxa"/>
            <w:vAlign w:val="bottom"/>
            <w:gridSpan w:val="9"/>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SA-9</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500" w:type="dxa"/>
            <w:vAlign w:val="bottom"/>
          </w:tcPr>
          <w:p>
            <w:pPr>
              <w:spacing w:after="0"/>
              <w:rPr>
                <w:sz w:val="16"/>
                <w:szCs w:val="16"/>
                <w:color w:val="auto"/>
              </w:rPr>
            </w:pPr>
          </w:p>
        </w:tc>
        <w:tc>
          <w:tcPr>
            <w:tcW w:w="2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FF"/>
                <w:w w:val="95"/>
              </w:rPr>
              <w:t>DESCRIPTION OF COMMON STOCK</w:t>
            </w:r>
          </w:p>
        </w:tc>
        <w:tc>
          <w:tcPr>
            <w:tcW w:w="3420" w:type="dxa"/>
            <w:vAlign w:val="bottom"/>
            <w:gridSpan w:val="4"/>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SA-11</w:t>
            </w:r>
          </w:p>
        </w:tc>
      </w:tr>
      <w:tr>
        <w:trPr>
          <w:trHeight w:val="193"/>
        </w:trPr>
        <w:tc>
          <w:tcPr>
            <w:tcW w:w="500" w:type="dxa"/>
            <w:vAlign w:val="bottom"/>
          </w:tcPr>
          <w:p>
            <w:pPr>
              <w:spacing w:after="0"/>
              <w:rPr>
                <w:sz w:val="16"/>
                <w:szCs w:val="16"/>
                <w:color w:val="auto"/>
              </w:rPr>
            </w:pPr>
          </w:p>
        </w:tc>
        <w:tc>
          <w:tcPr>
            <w:tcW w:w="15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FF"/>
                <w:w w:val="95"/>
              </w:rPr>
              <w:t>PLAN OF DISTRIBUTION</w:t>
            </w:r>
          </w:p>
        </w:tc>
        <w:tc>
          <w:tcPr>
            <w:tcW w:w="4100" w:type="dxa"/>
            <w:vAlign w:val="bottom"/>
            <w:gridSpan w:val="8"/>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SA-14</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LEGAL MATTERS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193"/>
        </w:trPr>
        <w:tc>
          <w:tcPr>
            <w:tcW w:w="500" w:type="dxa"/>
            <w:vAlign w:val="bottom"/>
          </w:tcPr>
          <w:p>
            <w:pPr>
              <w:spacing w:after="0"/>
              <w:rPr>
                <w:sz w:val="16"/>
                <w:szCs w:val="16"/>
                <w:color w:val="auto"/>
              </w:rPr>
            </w:pPr>
          </w:p>
        </w:tc>
        <w:tc>
          <w:tcPr>
            <w:tcW w:w="11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FF"/>
              </w:rPr>
              <w:t>EXPERTS</w:t>
            </w:r>
          </w:p>
        </w:tc>
        <w:tc>
          <w:tcPr>
            <w:tcW w:w="4540" w:type="dxa"/>
            <w:vAlign w:val="bottom"/>
            <w:gridSpan w:val="10"/>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500" w:type="dxa"/>
            <w:vAlign w:val="bottom"/>
          </w:tcPr>
          <w:p>
            <w:pPr>
              <w:spacing w:after="0"/>
              <w:rPr>
                <w:sz w:val="16"/>
                <w:szCs w:val="16"/>
                <w:color w:val="auto"/>
              </w:rPr>
            </w:pPr>
          </w:p>
        </w:tc>
        <w:tc>
          <w:tcPr>
            <w:tcW w:w="28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FF"/>
                <w:w w:val="95"/>
              </w:rPr>
              <w:t>WHERE YOU CAN FIND MORE INFORMATION</w:t>
            </w:r>
          </w:p>
        </w:tc>
        <w:tc>
          <w:tcPr>
            <w:tcW w:w="2760" w:type="dxa"/>
            <w:vAlign w:val="bottom"/>
            <w:gridSpan w:val="2"/>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INCORPORATION BY REFERENCE</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1074"/>
        </w:trPr>
        <w:tc>
          <w:tcPr>
            <w:tcW w:w="5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7" w:lineRule="exact"/>
        <w:rPr>
          <w:sz w:val="20"/>
          <w:szCs w:val="20"/>
          <w:color w:val="auto"/>
        </w:rPr>
      </w:pPr>
    </w:p>
    <w:p>
      <w:pPr>
        <w:ind w:left="860" w:right="899" w:firstLine="331"/>
        <w:spacing w:after="0" w:line="248"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U.S. Securities and Exchange Commission (the SEC) utilizing a “shelf” registration process. By using a shelf registration statement, we may offer shares of our common stock having an aggregate offering price of up to $14,500,000 from time to time under this prospectus at prices and on terms to be determined by market conditions at the time of offering.</w:t>
      </w:r>
    </w:p>
    <w:p>
      <w:pPr>
        <w:spacing w:after="0" w:line="145"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51" w:lineRule="exact"/>
        <w:rPr>
          <w:sz w:val="20"/>
          <w:szCs w:val="20"/>
          <w:color w:val="auto"/>
        </w:rPr>
      </w:pPr>
    </w:p>
    <w:p>
      <w:pPr>
        <w:ind w:left="860" w:right="859" w:firstLine="331"/>
        <w:spacing w:after="0" w:line="243"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and in any free writing prospectus that we may authorize for use in connection with this offering. We have not, and Leerink Partners has not, authorized any other person to provide you with different information. If anyone provides you with different or inconsistent information, you should not rely on it. We are not, and Leerink Partners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by Reference.”</w:t>
      </w:r>
    </w:p>
    <w:p>
      <w:pPr>
        <w:spacing w:after="0" w:line="150" w:lineRule="exact"/>
        <w:rPr>
          <w:sz w:val="20"/>
          <w:szCs w:val="20"/>
          <w:color w:val="auto"/>
        </w:rPr>
      </w:pPr>
    </w:p>
    <w:p>
      <w:pPr>
        <w:ind w:left="860" w:right="939" w:firstLine="331"/>
        <w:spacing w:after="0" w:line="244" w:lineRule="auto"/>
        <w:rPr>
          <w:sz w:val="20"/>
          <w:szCs w:val="20"/>
          <w:color w:val="auto"/>
        </w:rPr>
      </w:pPr>
      <w:r>
        <w:rPr>
          <w:rFonts w:ascii="Times New Roman" w:cs="Times New Roman" w:eastAsia="Times New Roman" w:hAnsi="Times New Roman"/>
          <w:sz w:val="14"/>
          <w:szCs w:val="14"/>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51" w:lineRule="exact"/>
        <w:rPr>
          <w:sz w:val="20"/>
          <w:szCs w:val="20"/>
          <w:color w:val="auto"/>
        </w:rPr>
      </w:pPr>
    </w:p>
    <w:p>
      <w:pPr>
        <w:jc w:val="both"/>
        <w:ind w:left="860" w:right="1299" w:firstLine="331"/>
        <w:spacing w:after="0" w:line="251" w:lineRule="auto"/>
        <w:rPr>
          <w:sz w:val="20"/>
          <w:szCs w:val="20"/>
          <w:color w:val="auto"/>
        </w:rPr>
      </w:pPr>
      <w:r>
        <w:rPr>
          <w:rFonts w:ascii="Times New Roman" w:cs="Times New Roman" w:eastAsia="Times New Roman" w:hAnsi="Times New Roman"/>
          <w:sz w:val="14"/>
          <w:szCs w:val="14"/>
          <w:color w:val="auto"/>
        </w:rPr>
        <w:t>When we refer to “Xilio Therapeutics,” “Xilio,” “we,” “our,” “us” and the “Company” in this prospectus, we mean Xilio Therapeutics, Inc. and its consolidated subsidiaries unless otherwise specified. When we refer to “you,” we mean the potential purchasers of the common stock we may offer under this prospectus.</w:t>
      </w:r>
    </w:p>
    <w:p>
      <w:pPr>
        <w:spacing w:after="0" w:line="143"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Xilio Therapeutics and its associated logos are some of our trademarks and tradenames used in this prospectus. This prospectus also includes trademarks, tradenames and service marks that are the property of other organizations. Solely for convenience, our trademarks and tradenames referred to in this prospectus may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167" w:lineRule="exact"/>
        <w:rPr>
          <w:sz w:val="20"/>
          <w:szCs w:val="20"/>
          <w:color w:val="auto"/>
        </w:rPr>
      </w:pPr>
    </w:p>
    <w:p>
      <w:pPr>
        <w:ind w:left="860" w:right="899" w:firstLine="331"/>
        <w:spacing w:after="0" w:line="243" w:lineRule="auto"/>
        <w:rPr>
          <w:sz w:val="20"/>
          <w:szCs w:val="20"/>
          <w:color w:val="auto"/>
        </w:rPr>
      </w:pPr>
      <w:r>
        <w:rPr>
          <w:rFonts w:ascii="Times New Roman" w:cs="Times New Roman" w:eastAsia="Times New Roman" w:hAnsi="Times New Roman"/>
          <w:sz w:val="14"/>
          <w:szCs w:val="14"/>
          <w:color w:val="auto"/>
        </w:rPr>
        <w:t>This prospectus, including the information incorporated by reference, may contain estimates, projections and other information concerning our industry, our business, and the market for immuno-oncology therapies,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any such information. Unless otherwise expressly stated, we obtained any such industry, business, market and other data from reports, research surveys, studies and similar data prepared by market research firms and other third parties, industry, medical and general publications, government data and similar sources.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53"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This industry, business, market and other information involves a number of assumptions and limitations, and you are cautioned not to give undue weight to such estimates. We have not independently verified any such third-party information and cannot assure you of its accuracy or completeness. Although we are responsible for all of the disclosure contained in this prospectus and we believe any market position, market opportunity, market size and other information included or incorporated by reference in this prospectus is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in the section titled “Risk Factors” and elsewhere in this prospectus or in the documents incorporated by reference herein. These and other factors could cause results to differ materially from those expressed in the estimates made by the independent parties and by 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1352550</wp:posOffset>
            </wp:positionH>
            <wp:positionV relativeFrom="page">
              <wp:posOffset>291465</wp:posOffset>
            </wp:positionV>
            <wp:extent cx="4843780" cy="6034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4843780" cy="6034405"/>
                    </a:xfrm>
                    <a:prstGeom prst="rect">
                      <a:avLst/>
                    </a:prstGeom>
                    <a:noFill/>
                  </pic:spPr>
                </pic:pic>
              </a:graphicData>
            </a:graphic>
          </wp:anchor>
        </w:drawing>
        <w:t>PROSPECTUS SUMMARY</w:t>
      </w:r>
    </w:p>
    <w:p>
      <w:pPr>
        <w:spacing w:after="0" w:line="165" w:lineRule="exact"/>
        <w:rPr>
          <w:sz w:val="20"/>
          <w:szCs w:val="20"/>
          <w:color w:val="auto"/>
        </w:rPr>
      </w:pPr>
    </w:p>
    <w:p>
      <w:pPr>
        <w:ind w:left="860" w:right="87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This summary does not contain all of the information you should consider before buying our common stock. You should read the entire prospectus carefully, especially the “Risk Factors” section beginning on page SA-5, our most recent annual report on Form 10-K, our most recent quarterly report on Form 10-Q and our consolidated financial statements and the related notes incorporated by reference into this prospectus, before deciding to invest in our common stock.</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color w:val="auto"/>
        </w:rPr>
        <w:t>We are a clinical-stage biotechnology company discovering and developing tumor-activated, or masked, immuno-oncology (I-</w:t>
      </w:r>
    </w:p>
    <w:p>
      <w:pPr>
        <w:spacing w:after="0" w:line="36" w:lineRule="exact"/>
        <w:rPr>
          <w:sz w:val="20"/>
          <w:szCs w:val="20"/>
          <w:color w:val="auto"/>
        </w:rPr>
      </w:pPr>
    </w:p>
    <w:p>
      <w:pPr>
        <w:ind w:left="860" w:right="1059" w:hanging="10"/>
        <w:spacing w:after="0" w:line="288" w:lineRule="auto"/>
        <w:tabs>
          <w:tab w:leader="none" w:pos="103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therapies with the goal of significantly improving outcomes for people living with cancer without the systemic side effects of current I-O treatments.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masked multi-specifics, and our clinically-validated masking technology has enabled us to establish top-tier strategic partnerships.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6" w:lineRule="exact"/>
        <w:rPr>
          <w:sz w:val="20"/>
          <w:szCs w:val="20"/>
          <w:color w:val="auto"/>
        </w:rPr>
      </w:pPr>
    </w:p>
    <w:p>
      <w:pPr>
        <w:jc w:val="both"/>
        <w:ind w:left="860" w:right="959" w:firstLine="331"/>
        <w:spacing w:after="0" w:line="248" w:lineRule="auto"/>
        <w:rPr>
          <w:sz w:val="20"/>
          <w:szCs w:val="20"/>
          <w:color w:val="auto"/>
        </w:rPr>
      </w:pPr>
      <w:r>
        <w:rPr>
          <w:rFonts w:ascii="Times New Roman" w:cs="Times New Roman" w:eastAsia="Times New Roman" w:hAnsi="Times New Roman"/>
          <w:sz w:val="14"/>
          <w:szCs w:val="14"/>
          <w:color w:val="auto"/>
        </w:rPr>
        <w:t>We are a Delaware corporation that was incorporated on June 18, 2020 under the name Xilio Therapeutics, Inc. We maintain a website at the following address: www.xiliotx.com. The information contained on, or that can be accessed through, our website is not incorporated by reference into this prospectus, and any reference to our website address is intended to be an inactive textual reference only.</w:t>
      </w:r>
    </w:p>
    <w:p>
      <w:pPr>
        <w:spacing w:after="0" w:line="2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86" w:lineRule="exact"/>
        <w:rPr>
          <w:sz w:val="20"/>
          <w:szCs w:val="20"/>
          <w:color w:val="auto"/>
        </w:rPr>
      </w:pPr>
    </w:p>
    <w:p>
      <w:pPr>
        <w:ind w:left="860" w:right="959" w:firstLine="331"/>
        <w:spacing w:after="0" w:line="248" w:lineRule="auto"/>
        <w:rPr>
          <w:sz w:val="20"/>
          <w:szCs w:val="20"/>
          <w:color w:val="auto"/>
        </w:rPr>
      </w:pPr>
      <w:r>
        <w:rPr>
          <w:rFonts w:ascii="Times New Roman" w:cs="Times New Roman" w:eastAsia="Times New Roman" w:hAnsi="Times New Roman"/>
          <w:sz w:val="14"/>
          <w:szCs w:val="14"/>
          <w:color w:val="auto"/>
        </w:rPr>
        <w:t>We are an “emerging growth company” (EGC), as defined in the Jumpstart Our Business Startups Act of 2012 (the JOBS Act). We may remain an EGC until December 31, 2026. For so long as we remain an EGC, we are permitted and intend to rely on exemptions from certain disclosure requirements that are applicable to other public companies that are not EGCs. These exemptions include:</w:t>
      </w:r>
    </w:p>
    <w:p>
      <w:pPr>
        <w:spacing w:after="0" w:line="64" w:lineRule="exact"/>
        <w:rPr>
          <w:sz w:val="20"/>
          <w:szCs w:val="20"/>
          <w:color w:val="auto"/>
        </w:rPr>
      </w:pPr>
    </w:p>
    <w:p>
      <w:pPr>
        <w:jc w:val="both"/>
        <w:ind w:left="1400" w:right="1159" w:hanging="219"/>
        <w:spacing w:after="0" w:line="25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2" w:lineRule="exact"/>
        <w:rPr>
          <w:rFonts w:ascii="Times New Roman" w:cs="Times New Roman" w:eastAsia="Times New Roman" w:hAnsi="Times New Roman"/>
          <w:sz w:val="14"/>
          <w:szCs w:val="14"/>
          <w:color w:val="auto"/>
        </w:rPr>
      </w:pPr>
    </w:p>
    <w:p>
      <w:pPr>
        <w:ind w:left="1400" w:right="859" w:hanging="219"/>
        <w:spacing w:after="0" w:line="26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w:t>
      </w:r>
    </w:p>
    <w:p>
      <w:pPr>
        <w:spacing w:after="0" w:line="55" w:lineRule="exact"/>
        <w:rPr>
          <w:rFonts w:ascii="Times New Roman" w:cs="Times New Roman" w:eastAsia="Times New Roman" w:hAnsi="Times New Roman"/>
          <w:sz w:val="14"/>
          <w:szCs w:val="14"/>
          <w:color w:val="auto"/>
        </w:rPr>
      </w:pPr>
    </w:p>
    <w:p>
      <w:pPr>
        <w:ind w:left="1400" w:right="859" w:hanging="219"/>
        <w:spacing w:after="0" w:line="25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2" w:lineRule="exact"/>
        <w:rPr>
          <w:rFonts w:ascii="Times New Roman" w:cs="Times New Roman" w:eastAsia="Times New Roman" w:hAnsi="Times New Roman"/>
          <w:sz w:val="14"/>
          <w:szCs w:val="14"/>
          <w:color w:val="auto"/>
        </w:rPr>
      </w:pPr>
    </w:p>
    <w:p>
      <w:pPr>
        <w:ind w:left="1400" w:hanging="219"/>
        <w:spacing w:after="0"/>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and</w:t>
      </w:r>
    </w:p>
    <w:p>
      <w:pPr>
        <w:spacing w:after="0" w:line="82" w:lineRule="exact"/>
        <w:rPr>
          <w:rFonts w:ascii="Times New Roman" w:cs="Times New Roman" w:eastAsia="Times New Roman" w:hAnsi="Times New Roman"/>
          <w:sz w:val="14"/>
          <w:szCs w:val="14"/>
          <w:color w:val="auto"/>
        </w:rPr>
      </w:pPr>
    </w:p>
    <w:p>
      <w:pPr>
        <w:ind w:left="1400" w:right="1279" w:hanging="219"/>
        <w:spacing w:after="0" w:line="26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stockholder approval of any golden parachute payments not previously approved.</w:t>
      </w:r>
    </w:p>
    <w:p>
      <w:pPr>
        <w:spacing w:after="0" w:line="136" w:lineRule="exact"/>
        <w:rPr>
          <w:sz w:val="20"/>
          <w:szCs w:val="20"/>
          <w:color w:val="auto"/>
        </w:rPr>
      </w:pPr>
    </w:p>
    <w:p>
      <w:pPr>
        <w:ind w:left="860" w:right="919" w:firstLine="331"/>
        <w:spacing w:after="0" w:line="246" w:lineRule="auto"/>
        <w:rPr>
          <w:sz w:val="20"/>
          <w:szCs w:val="20"/>
          <w:color w:val="auto"/>
        </w:rPr>
      </w:pPr>
      <w:r>
        <w:rPr>
          <w:rFonts w:ascii="Times New Roman" w:cs="Times New Roman" w:eastAsia="Times New Roman" w:hAnsi="Times New Roman"/>
          <w:sz w:val="14"/>
          <w:szCs w:val="14"/>
          <w:color w:val="auto"/>
        </w:rPr>
        <w:t>We are also a “smaller reporting company” as defined in the Securities Act and Exchange Act. We may continue to be a smaller reporting company even after we are no longer an emerging growth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 of 2002.</w:t>
      </w:r>
    </w:p>
    <w:p>
      <w:pPr>
        <w:spacing w:after="0" w:line="148" w:lineRule="exact"/>
        <w:rPr>
          <w:sz w:val="20"/>
          <w:szCs w:val="20"/>
          <w:color w:val="auto"/>
        </w:r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As a result, the information in this prospectus and that we provide to our investors in the future may be different than what you might receive from other public reporting companies.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311150</wp:posOffset>
            </wp:positionV>
            <wp:extent cx="528764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1352550</wp:posOffset>
            </wp:positionH>
            <wp:positionV relativeFrom="page">
              <wp:posOffset>291465</wp:posOffset>
            </wp:positionV>
            <wp:extent cx="4843780" cy="6349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4843780" cy="6349365"/>
                    </a:xfrm>
                    <a:prstGeom prst="rect">
                      <a:avLst/>
                    </a:prstGeom>
                    <a:noFill/>
                  </pic:spPr>
                </pic:pic>
              </a:graphicData>
            </a:graphic>
          </wp:anchor>
        </w:drawing>
        <w:t>THE OFFERING</w:t>
      </w:r>
    </w:p>
    <w:p>
      <w:pPr>
        <w:sectPr>
          <w:pgSz w:w="11900" w:h="16838" w:orient="portrait"/>
          <w:cols w:equalWidth="0" w:num="1">
            <w:col w:w="9019"/>
          </w:cols>
          <w:pgMar w:left="1440" w:top="771" w:right="1440" w:bottom="1440" w:gutter="0" w:footer="0" w:header="0"/>
        </w:sectPr>
      </w:pPr>
    </w:p>
    <w:p>
      <w:pPr>
        <w:spacing w:after="0" w:line="210" w:lineRule="exact"/>
        <w:rPr>
          <w:sz w:val="20"/>
          <w:szCs w:val="20"/>
          <w:color w:val="auto"/>
        </w:rPr>
      </w:pPr>
    </w:p>
    <w:p>
      <w:pPr>
        <w:ind w:left="860"/>
        <w:spacing w:after="0" w:line="261" w:lineRule="auto"/>
        <w:rPr>
          <w:sz w:val="20"/>
          <w:szCs w:val="20"/>
          <w:color w:val="auto"/>
        </w:rPr>
      </w:pPr>
      <w:r>
        <w:rPr>
          <w:rFonts w:ascii="Times New Roman" w:cs="Times New Roman" w:eastAsia="Times New Roman" w:hAnsi="Times New Roman"/>
          <w:sz w:val="14"/>
          <w:szCs w:val="14"/>
          <w:color w:val="auto"/>
        </w:rPr>
        <w:t>Common stock offered by us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959"/>
        <w:spacing w:after="0" w:line="251" w:lineRule="auto"/>
        <w:rPr>
          <w:sz w:val="20"/>
          <w:szCs w:val="20"/>
          <w:color w:val="auto"/>
        </w:rPr>
      </w:pPr>
      <w:r>
        <w:rPr>
          <w:rFonts w:ascii="Times New Roman" w:cs="Times New Roman" w:eastAsia="Times New Roman" w:hAnsi="Times New Roman"/>
          <w:sz w:val="14"/>
          <w:szCs w:val="14"/>
          <w:color w:val="auto"/>
        </w:rPr>
        <w:t>In accordance with the terms of the sales agreement, we may offer and sell shares of our common stock from time to time through or to Leerink Partners having an aggregate offering price of up to $14,500,000.</w:t>
      </w:r>
    </w:p>
    <w:p>
      <w:pPr>
        <w:spacing w:after="0" w:line="72" w:lineRule="exact"/>
        <w:rPr>
          <w:sz w:val="20"/>
          <w:szCs w:val="20"/>
          <w:color w:val="auto"/>
        </w:rPr>
      </w:pPr>
    </w:p>
    <w:p>
      <w:pPr>
        <w:sectPr>
          <w:pgSz w:w="11900" w:h="16838" w:orient="portrait"/>
          <w:cols w:equalWidth="0" w:num="2">
            <w:col w:w="2260" w:space="200"/>
            <w:col w:w="6559"/>
          </w:cols>
          <w:pgMar w:left="1440" w:top="771"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Common stock to be</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outstanding after this</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offering</w:t>
      </w:r>
    </w:p>
    <w:p>
      <w:pPr>
        <w:spacing w:after="0" w:line="20" w:lineRule="exact"/>
        <w:rPr>
          <w:sz w:val="20"/>
          <w:szCs w:val="20"/>
          <w:color w:val="auto"/>
        </w:rPr>
      </w:pPr>
      <w:r>
        <w:rPr>
          <w:sz w:val="20"/>
          <w:szCs w:val="20"/>
          <w:color w:val="auto"/>
        </w:rPr>
        <w:br w:type="column"/>
      </w:r>
    </w:p>
    <w:p>
      <w:pPr>
        <w:ind w:right="1019"/>
        <w:spacing w:after="0" w:line="302" w:lineRule="auto"/>
        <w:rPr>
          <w:sz w:val="20"/>
          <w:szCs w:val="20"/>
          <w:color w:val="auto"/>
        </w:rPr>
      </w:pPr>
      <w:r>
        <w:rPr>
          <w:rFonts w:ascii="Times New Roman" w:cs="Times New Roman" w:eastAsia="Times New Roman" w:hAnsi="Times New Roman"/>
          <w:sz w:val="12"/>
          <w:szCs w:val="12"/>
          <w:color w:val="auto"/>
        </w:rPr>
        <w:t>Up to 7,519,062 shares, assuming sales of 1,736,526 shares of our common stock in this offering at an offering price of $8.35 per share, which was the last reported sale price of our common stock on The Nasdaq Capital Market on May 26, 2026. The actual number of shares issued will vary depending on how many shares of our common stock we choose to sell and the prices at which such sales occur.</w:t>
      </w:r>
    </w:p>
    <w:p>
      <w:pPr>
        <w:spacing w:after="0" w:line="45" w:lineRule="exact"/>
        <w:rPr>
          <w:sz w:val="20"/>
          <w:szCs w:val="20"/>
          <w:color w:val="auto"/>
        </w:rPr>
      </w:pPr>
    </w:p>
    <w:p>
      <w:pPr>
        <w:sectPr>
          <w:pgSz w:w="11900" w:h="16838" w:orient="portrait"/>
          <w:cols w:equalWidth="0" w:num="2">
            <w:col w:w="2000" w:space="460"/>
            <w:col w:w="6559"/>
          </w:cols>
          <w:pgMar w:left="1440" w:top="771"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Plan of Distribution</w:t>
      </w:r>
    </w:p>
    <w:p>
      <w:pPr>
        <w:spacing w:after="0" w:line="20" w:lineRule="exact"/>
        <w:rPr>
          <w:sz w:val="20"/>
          <w:szCs w:val="20"/>
          <w:color w:val="auto"/>
        </w:rPr>
      </w:pPr>
      <w:r>
        <w:rPr>
          <w:sz w:val="20"/>
          <w:szCs w:val="20"/>
          <w:color w:val="auto"/>
        </w:rPr>
        <w:br w:type="column"/>
      </w:r>
    </w:p>
    <w:p>
      <w:pPr>
        <w:ind w:right="879"/>
        <w:spacing w:after="0" w:line="261" w:lineRule="auto"/>
        <w:rPr>
          <w:sz w:val="20"/>
          <w:szCs w:val="20"/>
          <w:color w:val="auto"/>
        </w:rPr>
      </w:pPr>
      <w:r>
        <w:rPr>
          <w:rFonts w:ascii="Times New Roman" w:cs="Times New Roman" w:eastAsia="Times New Roman" w:hAnsi="Times New Roman"/>
          <w:sz w:val="14"/>
          <w:szCs w:val="14"/>
          <w:color w:val="auto"/>
        </w:rPr>
        <w:t>“At the market offering” that may be made from time to time through Leerink Partners as our sales agent or principal. See “Plan of Distribution” on page SA-14.</w:t>
      </w:r>
    </w:p>
    <w:p>
      <w:pPr>
        <w:spacing w:after="0" w:line="65" w:lineRule="exact"/>
        <w:rPr>
          <w:sz w:val="20"/>
          <w:szCs w:val="20"/>
          <w:color w:val="auto"/>
        </w:rPr>
      </w:pPr>
    </w:p>
    <w:p>
      <w:pPr>
        <w:sectPr>
          <w:pgSz w:w="11900" w:h="16838" w:orient="portrait"/>
          <w:cols w:equalWidth="0" w:num="2">
            <w:col w:w="1920" w:space="540"/>
            <w:col w:w="6559"/>
          </w:cols>
          <w:pgMar w:left="1440" w:top="771"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Use of Proceeds</w:t>
      </w:r>
    </w:p>
    <w:p>
      <w:pPr>
        <w:spacing w:after="0" w:line="20" w:lineRule="exact"/>
        <w:rPr>
          <w:sz w:val="20"/>
          <w:szCs w:val="20"/>
          <w:color w:val="auto"/>
        </w:rPr>
      </w:pPr>
      <w:r>
        <w:rPr>
          <w:sz w:val="20"/>
          <w:szCs w:val="20"/>
          <w:color w:val="auto"/>
        </w:rPr>
        <w:br w:type="column"/>
      </w:r>
    </w:p>
    <w:p>
      <w:pPr>
        <w:ind w:right="879"/>
        <w:spacing w:after="0" w:line="261" w:lineRule="auto"/>
        <w:rPr>
          <w:sz w:val="20"/>
          <w:szCs w:val="20"/>
          <w:color w:val="auto"/>
        </w:rPr>
      </w:pPr>
      <w:r>
        <w:rPr>
          <w:rFonts w:ascii="Times New Roman" w:cs="Times New Roman" w:eastAsia="Times New Roman" w:hAnsi="Times New Roman"/>
          <w:sz w:val="14"/>
          <w:szCs w:val="14"/>
          <w:color w:val="auto"/>
        </w:rPr>
        <w:t>We intend to use the net proceeds from this offering, if any, for working capital, capital expenditures and other general corporate purposes. See “Use of Proceeds” on page SA-8.</w:t>
      </w:r>
    </w:p>
    <w:p>
      <w:pPr>
        <w:spacing w:after="0" w:line="65" w:lineRule="exact"/>
        <w:rPr>
          <w:sz w:val="20"/>
          <w:szCs w:val="20"/>
          <w:color w:val="auto"/>
        </w:rPr>
      </w:pPr>
    </w:p>
    <w:p>
      <w:pPr>
        <w:sectPr>
          <w:pgSz w:w="11900" w:h="16838" w:orient="portrait"/>
          <w:cols w:equalWidth="0" w:num="2">
            <w:col w:w="1740" w:space="720"/>
            <w:col w:w="6559"/>
          </w:cols>
          <w:pgMar w:left="1440" w:top="771" w:right="1440"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12"/>
          <w:szCs w:val="12"/>
          <w:color w:val="auto"/>
        </w:rPr>
        <w:t>Risk Factors</w:t>
      </w:r>
    </w:p>
    <w:p>
      <w:pPr>
        <w:spacing w:after="0" w:line="20" w:lineRule="exact"/>
        <w:rPr>
          <w:sz w:val="20"/>
          <w:szCs w:val="20"/>
          <w:color w:val="auto"/>
        </w:rPr>
      </w:pPr>
      <w:r>
        <w:rPr>
          <w:sz w:val="20"/>
          <w:szCs w:val="20"/>
          <w:color w:val="auto"/>
        </w:rPr>
        <w:br w:type="column"/>
      </w:r>
    </w:p>
    <w:p>
      <w:pPr>
        <w:jc w:val="both"/>
        <w:ind w:right="1259"/>
        <w:spacing w:after="0" w:line="313" w:lineRule="auto"/>
        <w:rPr>
          <w:sz w:val="20"/>
          <w:szCs w:val="20"/>
          <w:color w:val="auto"/>
        </w:rPr>
      </w:pPr>
      <w:r>
        <w:rPr>
          <w:rFonts w:ascii="Times New Roman" w:cs="Times New Roman" w:eastAsia="Times New Roman" w:hAnsi="Times New Roman"/>
          <w:sz w:val="12"/>
          <w:szCs w:val="12"/>
          <w:color w:val="auto"/>
        </w:rPr>
        <w:t>Investing in our common stock involves a high degree of risk. You should read the “Risk Factors” section of this prospectus and in the documents incorporated by reference in this prospectus for a discussion of factors to consider before deciding to purchase shares of our common stock.</w:t>
      </w:r>
    </w:p>
    <w:p>
      <w:pPr>
        <w:spacing w:after="0" w:line="38" w:lineRule="exact"/>
        <w:rPr>
          <w:sz w:val="20"/>
          <w:szCs w:val="20"/>
          <w:color w:val="auto"/>
        </w:rPr>
      </w:pPr>
    </w:p>
    <w:p>
      <w:pPr>
        <w:sectPr>
          <w:pgSz w:w="11900" w:h="16838" w:orient="portrait"/>
          <w:cols w:equalWidth="0" w:num="2">
            <w:col w:w="1740" w:space="720"/>
            <w:col w:w="6559"/>
          </w:cols>
          <w:pgMar w:left="1440" w:top="771" w:right="1440" w:bottom="1440" w:gutter="0" w:footer="0" w:header="0"/>
          <w:type w:val="continuous"/>
        </w:sectPr>
      </w:pPr>
    </w:p>
    <w:p>
      <w:pPr>
        <w:ind w:left="860"/>
        <w:spacing w:after="0" w:line="345" w:lineRule="auto"/>
        <w:rPr>
          <w:sz w:val="20"/>
          <w:szCs w:val="20"/>
          <w:color w:val="auto"/>
        </w:rPr>
      </w:pPr>
      <w:r>
        <w:rPr>
          <w:rFonts w:ascii="Times New Roman" w:cs="Times New Roman" w:eastAsia="Times New Roman" w:hAnsi="Times New Roman"/>
          <w:sz w:val="12"/>
          <w:szCs w:val="12"/>
          <w:color w:val="auto"/>
        </w:rPr>
        <w:t>Symbol on The Nasdaq Capital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“XLO”</w:t>
      </w:r>
    </w:p>
    <w:p>
      <w:pPr>
        <w:spacing w:after="0" w:line="368" w:lineRule="exact"/>
        <w:rPr>
          <w:sz w:val="20"/>
          <w:szCs w:val="20"/>
          <w:color w:val="auto"/>
        </w:rPr>
      </w:pPr>
    </w:p>
    <w:p>
      <w:pPr>
        <w:sectPr>
          <w:pgSz w:w="11900" w:h="16838" w:orient="portrait"/>
          <w:cols w:equalWidth="0" w:num="2">
            <w:col w:w="2120" w:space="340"/>
            <w:col w:w="6559"/>
          </w:cols>
          <w:pgMar w:left="1440" w:top="771" w:right="1440" w:bottom="1440" w:gutter="0" w:footer="0" w:header="0"/>
          <w:type w:val="continuous"/>
        </w:sect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5,782,536 shares of our common stock outstanding as of March 31, 2026, and excludes:</w:t>
      </w:r>
    </w:p>
    <w:p>
      <w:pPr>
        <w:spacing w:after="0" w:line="55" w:lineRule="exact"/>
        <w:rPr>
          <w:sz w:val="20"/>
          <w:szCs w:val="20"/>
          <w:color w:val="auto"/>
        </w:rPr>
      </w:pPr>
    </w:p>
    <w:p>
      <w:pPr>
        <w:ind w:left="1400" w:right="117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2,767,285 shares of our common stock issuable upon the exercise of stock options to purchase common stock that were outstanding as of March 31, 2026, with a weighted-average exercise price of $14.41 per share;</w:t>
      </w:r>
    </w:p>
    <w:p>
      <w:pPr>
        <w:spacing w:after="0" w:line="55" w:lineRule="exact"/>
        <w:rPr>
          <w:rFonts w:ascii="Times New Roman" w:cs="Times New Roman" w:eastAsia="Times New Roman" w:hAnsi="Times New Roman"/>
          <w:sz w:val="14"/>
          <w:szCs w:val="14"/>
          <w:color w:val="auto"/>
        </w:rPr>
      </w:pPr>
    </w:p>
    <w:p>
      <w:pPr>
        <w:ind w:left="1400" w:right="91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15,914 shares of our common stock issuable upon the vesting of restricted stock units that were outstanding and unvested as of March 31, 2026;</w:t>
      </w:r>
    </w:p>
    <w:p>
      <w:pPr>
        <w:spacing w:after="0" w:line="55" w:lineRule="exact"/>
        <w:rPr>
          <w:rFonts w:ascii="Times New Roman" w:cs="Times New Roman" w:eastAsia="Times New Roman" w:hAnsi="Times New Roman"/>
          <w:sz w:val="14"/>
          <w:szCs w:val="14"/>
          <w:color w:val="auto"/>
        </w:rPr>
      </w:pPr>
    </w:p>
    <w:p>
      <w:pPr>
        <w:ind w:left="1400" w:right="107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13,307,918 shares of our common stock issuable upon the exercise of prefunded warrants to purchase common stock that were outstanding as of March 31, 2026, with an exercise price of $0.0014 per share;</w:t>
      </w:r>
    </w:p>
    <w:p>
      <w:pPr>
        <w:spacing w:after="0" w:line="55" w:lineRule="exact"/>
        <w:rPr>
          <w:rFonts w:ascii="Times New Roman" w:cs="Times New Roman" w:eastAsia="Times New Roman" w:hAnsi="Times New Roman"/>
          <w:sz w:val="14"/>
          <w:szCs w:val="14"/>
          <w:color w:val="auto"/>
        </w:rPr>
      </w:pPr>
    </w:p>
    <w:p>
      <w:pPr>
        <w:ind w:left="1400" w:right="93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4,762,533 shares of our common stock issuable upon the exercise of Series A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00" w:right="93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3,443,388 shares of our common stock issuable upon the exercise of Series C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00" w:right="1039" w:hanging="219"/>
        <w:spacing w:after="0" w:line="313" w:lineRule="auto"/>
        <w:tabs>
          <w:tab w:leader="none" w:pos="14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356,689 shares of our common stock reserved for issuance pursuant to future awards under our 2021 Stock Incentive Plan (the 2021 Plan) as of March 31, 2026, as well as any shares of our common stock that may be reserved for issuance in connection with future automatic increases of shares issuable under the 2021 Plan in accordance with its terms;</w:t>
      </w:r>
    </w:p>
    <w:p>
      <w:pPr>
        <w:spacing w:after="0" w:line="27" w:lineRule="exact"/>
        <w:rPr>
          <w:rFonts w:ascii="Times New Roman" w:cs="Times New Roman" w:eastAsia="Times New Roman" w:hAnsi="Times New Roman"/>
          <w:sz w:val="12"/>
          <w:szCs w:val="12"/>
          <w:color w:val="auto"/>
        </w:rPr>
      </w:pPr>
    </w:p>
    <w:p>
      <w:pPr>
        <w:ind w:left="1400" w:right="95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52,812 shares of our common stock reserved for issuance pursuant to future awards under our Amended and Restated 2022 Inducement Stock Incentive Plan (the 2022 Inducement Plan) as of March 31, 2026;</w:t>
      </w:r>
    </w:p>
    <w:p>
      <w:pPr>
        <w:spacing w:after="0" w:line="55" w:lineRule="exact"/>
        <w:rPr>
          <w:rFonts w:ascii="Times New Roman" w:cs="Times New Roman" w:eastAsia="Times New Roman" w:hAnsi="Times New Roman"/>
          <w:sz w:val="14"/>
          <w:szCs w:val="14"/>
          <w:color w:val="auto"/>
        </w:rPr>
      </w:pPr>
    </w:p>
    <w:p>
      <w:pPr>
        <w:ind w:left="1400" w:right="109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21,805 shares of our common stock reserved for issuance pursuant to future awards under our 2025 Stock Incentive Plan (the 2025 Plan) as of March 31, 2026;</w:t>
      </w:r>
    </w:p>
    <w:p>
      <w:pPr>
        <w:spacing w:after="0" w:line="55" w:lineRule="exact"/>
        <w:rPr>
          <w:rFonts w:ascii="Times New Roman" w:cs="Times New Roman" w:eastAsia="Times New Roman" w:hAnsi="Times New Roman"/>
          <w:sz w:val="14"/>
          <w:szCs w:val="14"/>
          <w:color w:val="auto"/>
        </w:rPr>
      </w:pPr>
    </w:p>
    <w:p>
      <w:pPr>
        <w:ind w:left="1400" w:right="1199" w:hanging="219"/>
        <w:spacing w:after="0" w:line="25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131,321 shares of our common stock reserved for issuance pursuant to future awards under our 2021 Employee Stock Purchase Plan (the ESPP), as well as any shares of common stock that may be reserved for issuance in connection with future automatic increases of shares issuable under the ESPP in accordance with its terms;</w:t>
      </w:r>
    </w:p>
    <w:p>
      <w:pPr>
        <w:spacing w:after="0" w:line="62" w:lineRule="exact"/>
        <w:rPr>
          <w:rFonts w:ascii="Times New Roman" w:cs="Times New Roman" w:eastAsia="Times New Roman" w:hAnsi="Times New Roman"/>
          <w:sz w:val="14"/>
          <w:szCs w:val="14"/>
          <w:color w:val="auto"/>
        </w:rPr>
      </w:pPr>
    </w:p>
    <w:p>
      <w:pPr>
        <w:ind w:left="1400" w:right="103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 shares of common stock issuable upon the exercise of a warrant to purchase common stock that was outstanding as of March 31, 2026, with an exercise price of $133.00; and</w:t>
      </w:r>
    </w:p>
    <w:p>
      <w:pPr>
        <w:spacing w:after="0" w:line="55" w:lineRule="exact"/>
        <w:rPr>
          <w:rFonts w:ascii="Times New Roman" w:cs="Times New Roman" w:eastAsia="Times New Roman" w:hAnsi="Times New Roman"/>
          <w:sz w:val="14"/>
          <w:szCs w:val="14"/>
          <w:color w:val="auto"/>
        </w:rPr>
      </w:pPr>
    </w:p>
    <w:p>
      <w:pPr>
        <w:ind w:left="1400" w:right="143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592,300 shares of our common stock that were issued and sold subsequent to March 31, 2026 pursuant to the sales agreement and prior prospectus.</w:t>
      </w:r>
    </w:p>
    <w:p>
      <w:pPr>
        <w:spacing w:after="0" w:line="136" w:lineRule="exact"/>
        <w:rPr>
          <w:sz w:val="20"/>
          <w:szCs w:val="20"/>
          <w:color w:val="auto"/>
        </w:rPr>
      </w:pPr>
    </w:p>
    <w:p>
      <w:pPr>
        <w:ind w:left="860" w:right="899" w:firstLine="331"/>
        <w:spacing w:after="0" w:line="345" w:lineRule="auto"/>
        <w:rPr>
          <w:sz w:val="20"/>
          <w:szCs w:val="20"/>
          <w:color w:val="auto"/>
        </w:rPr>
      </w:pPr>
      <w:r>
        <w:rPr>
          <w:rFonts w:ascii="Times New Roman" w:cs="Times New Roman" w:eastAsia="Times New Roman" w:hAnsi="Times New Roman"/>
          <w:sz w:val="12"/>
          <w:szCs w:val="12"/>
          <w:color w:val="auto"/>
        </w:rPr>
        <w:t>In addition, unless we specifically state otherwise, all information in this prospectus reflects and assumes no exercise of outstanding stock options, vesting of outstanding restricted stock units, or exercise of prefunded warrants or warrants described above.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311150</wp:posOffset>
            </wp:positionV>
            <wp:extent cx="528764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5"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i w:val="1"/>
          <w:iCs w:val="1"/>
          <w:color w:val="auto"/>
        </w:rPr>
        <w:t>You should consider carefully the risks described below and discussed under the section captioned “Risk Factors” contained in our most recent annual report on Form 10-K, as updated by our subsequent filings under the Exchange Act, each of which is incorporated by reference in this prospectus in their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82" w:lineRule="exact"/>
        <w:rPr>
          <w:sz w:val="20"/>
          <w:szCs w:val="20"/>
          <w:color w:val="auto"/>
        </w:rPr>
      </w:pPr>
    </w:p>
    <w:p>
      <w:pPr>
        <w:ind w:left="860" w:right="101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Our management team may invest or spend the proceeds of this offering in ways with which you may not agree or in ways which may not yield a significant return.</w:t>
      </w:r>
    </w:p>
    <w:p>
      <w:pPr>
        <w:spacing w:after="0" w:line="51" w:lineRule="exact"/>
        <w:rPr>
          <w:sz w:val="20"/>
          <w:szCs w:val="20"/>
          <w:color w:val="auto"/>
        </w:rPr>
      </w:pPr>
    </w:p>
    <w:p>
      <w:pPr>
        <w:ind w:left="860" w:right="899" w:firstLine="331"/>
        <w:spacing w:after="0" w:line="246" w:lineRule="auto"/>
        <w:rPr>
          <w:sz w:val="20"/>
          <w:szCs w:val="20"/>
          <w:color w:val="auto"/>
        </w:rPr>
      </w:pPr>
      <w:r>
        <w:rPr>
          <w:rFonts w:ascii="Times New Roman" w:cs="Times New Roman" w:eastAsia="Times New Roman" w:hAnsi="Times New Roman"/>
          <w:sz w:val="14"/>
          <w:szCs w:val="14"/>
          <w:color w:val="auto"/>
        </w:rPr>
        <w:t>Our management will have broad discretion over the use of proceeds from this offering. The net proceeds from this offering will be used for working capital, capital expenditures and other general corporate purposes.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25" w:lineRule="exact"/>
        <w:rPr>
          <w:sz w:val="20"/>
          <w:szCs w:val="20"/>
          <w:color w:val="auto"/>
        </w:rPr>
      </w:pPr>
    </w:p>
    <w:p>
      <w:pPr>
        <w:ind w:left="860" w:right="8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You may experience immediate and substantial dilution in the net tangible book value per share of the common stock you purchase in this offering.</w:t>
      </w:r>
    </w:p>
    <w:p>
      <w:pPr>
        <w:spacing w:after="0" w:line="51"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The price per share of our common stock being offered may be higher than the pro forma as adjusted net tangible book value per share of our common stock outstanding prior to this offering. Assuming that an aggregate of 1,736,526 shares are sold at a price of $8.35 per share, the last reported sale price of our common stock on The Nasdaq Capital Market on May 26, 2026, for aggregate proceeds of $14,500,000 in this offering, and after deducting commissions and estimated aggregate offering expenses payable by us, you will suffer immediate and substantial dilution of $4.21 per share, representing the difference between the pro forma as adjusted net tangible book value per share of our common stock as of March 31, 2026 after giving effect to this offering and the assumed offering price. See the section entitled “Dilution” below for a more detailed discussion of the dilution you will incur if you purchase common stock in this offering.</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86"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aggregate proceeds resulting from sales made under the sales agreement.</w:t>
      </w:r>
    </w:p>
    <w:p>
      <w:pPr>
        <w:spacing w:after="0" w:line="86" w:lineRule="exact"/>
        <w:rPr>
          <w:sz w:val="20"/>
          <w:szCs w:val="20"/>
          <w:color w:val="auto"/>
        </w:rPr>
      </w:pPr>
    </w:p>
    <w:p>
      <w:pPr>
        <w:ind w:left="860" w:right="899" w:firstLine="331"/>
        <w:spacing w:after="0" w:line="294" w:lineRule="auto"/>
        <w:rPr>
          <w:sz w:val="20"/>
          <w:szCs w:val="20"/>
          <w:color w:val="auto"/>
        </w:rPr>
      </w:pPr>
      <w:r>
        <w:rPr>
          <w:rFonts w:ascii="Times New Roman" w:cs="Times New Roman" w:eastAsia="Times New Roman" w:hAnsi="Times New Roman"/>
          <w:sz w:val="12"/>
          <w:szCs w:val="12"/>
          <w:color w:val="auto"/>
        </w:rPr>
        <w:t>Subject to certain limitations in the sales agreement and compliance with applicable law, we have the discretion to deliver a placement notice to Leerink Partners at any time throughout the term of the sales agreement. The number of shares that are sold through Leerink Partners after delivering a placement notice will fluctuate based on a number of factors, including the market price of our common stock during the sales period, any limits we may set with Leerink Partners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97" w:lineRule="exact"/>
        <w:rPr>
          <w:sz w:val="20"/>
          <w:szCs w:val="20"/>
          <w:color w:val="auto"/>
        </w:rPr>
      </w:pPr>
    </w:p>
    <w:p>
      <w:pPr>
        <w:ind w:left="860" w:right="113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860" w:right="899" w:firstLine="331"/>
        <w:spacing w:after="0" w:line="313" w:lineRule="auto"/>
        <w:rPr>
          <w:sz w:val="20"/>
          <w:szCs w:val="20"/>
          <w:color w:val="auto"/>
        </w:rPr>
      </w:pPr>
      <w:r>
        <w:rPr>
          <w:rFonts w:ascii="Times New Roman" w:cs="Times New Roman" w:eastAsia="Times New Roman" w:hAnsi="Times New Roman"/>
          <w:sz w:val="12"/>
          <w:szCs w:val="12"/>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2" w:name="page43"/>
    <w:bookmarkEnd w:id="42"/>
    <w:p>
      <w:pPr>
        <w:ind w:left="860" w:right="919"/>
        <w:spacing w:after="0" w:line="251" w:lineRule="auto"/>
        <w:rPr>
          <w:sz w:val="20"/>
          <w:szCs w:val="20"/>
          <w:color w:val="auto"/>
        </w:rPr>
      </w:pPr>
      <w:r>
        <w:rPr>
          <w:rFonts w:ascii="Times New Roman" w:cs="Times New Roman" w:eastAsia="Times New Roman" w:hAnsi="Times New Roman"/>
          <w:sz w:val="14"/>
          <w:szCs w:val="14"/>
          <w:color w:val="auto"/>
        </w:rPr>
        <w:t>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in the foreseeable future.</w:t>
      </w:r>
    </w:p>
    <w:p>
      <w:pPr>
        <w:spacing w:after="0" w:line="86" w:lineRule="exact"/>
        <w:rPr>
          <w:sz w:val="20"/>
          <w:szCs w:val="20"/>
          <w:color w:val="auto"/>
        </w:rPr>
      </w:pPr>
    </w:p>
    <w:p>
      <w:pPr>
        <w:ind w:left="860" w:right="1039" w:firstLine="331"/>
        <w:spacing w:after="0" w:line="251" w:lineRule="auto"/>
        <w:rPr>
          <w:sz w:val="20"/>
          <w:szCs w:val="20"/>
          <w:color w:val="auto"/>
        </w:rPr>
      </w:pPr>
      <w:r>
        <w:rPr>
          <w:rFonts w:ascii="Times New Roman" w:cs="Times New Roman" w:eastAsia="Times New Roman" w:hAnsi="Times New Roman"/>
          <w:sz w:val="14"/>
          <w:szCs w:val="14"/>
          <w:color w:val="auto"/>
        </w:rPr>
        <w:t>We have never paid cash dividends on our common stock. We currently intend to retain our future earnings, if any, to finance the operation and growth of our business and currently do not plan to pay any cash dividends in the foreseeable future. As a result, only appreciation of the price of our common stock will provide a return to stockholders for the foreseeable future.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7" w:lineRule="exact"/>
        <w:rPr>
          <w:sz w:val="20"/>
          <w:szCs w:val="20"/>
          <w:color w:val="auto"/>
        </w:rPr>
      </w:pPr>
    </w:p>
    <w:p>
      <w:pPr>
        <w:ind w:left="860" w:right="959" w:firstLine="331"/>
        <w:spacing w:after="0" w:line="292" w:lineRule="auto"/>
        <w:rPr>
          <w:sz w:val="20"/>
          <w:szCs w:val="20"/>
          <w:color w:val="auto"/>
        </w:rPr>
      </w:pPr>
      <w:r>
        <w:rPr>
          <w:rFonts w:ascii="Times New Roman" w:cs="Times New Roman" w:eastAsia="Times New Roman" w:hAnsi="Times New Roman"/>
          <w:sz w:val="12"/>
          <w:szCs w:val="12"/>
          <w:color w:val="auto"/>
        </w:rPr>
        <w:t>This prospectus and the documents incorporated by reference herein contain forward-looking statements within the meaning of the U.S. Private Securities Litigation Reform Act of 1995 that involve substantial risks and uncertainties. All statements, other than statements of historical facts, contained in this prospectus and the documents incorporated by reference herein are forward-looking statements. In some cases, you can identify forward-looking statements by words such as “aim,” “anticipate,” “believe,” “contemplate,” “continue,” “could,” “estimate,” “expect,” “intend,” “may,” “might,” “plan,” “potential,” “predict,” “project,” “should,” “target,” “would,” or the negative of these words or other comparable terminology, although not all forward-looking statements contain these identifying words. These forward-looking statements include, but are not limited to, statements about:</w:t>
      </w:r>
    </w:p>
    <w:p>
      <w:pPr>
        <w:spacing w:after="0" w:line="40" w:lineRule="exact"/>
        <w:rPr>
          <w:sz w:val="20"/>
          <w:szCs w:val="20"/>
          <w:color w:val="auto"/>
        </w:rPr>
      </w:pPr>
    </w:p>
    <w:p>
      <w:pPr>
        <w:ind w:left="1440" w:right="109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research and development programs and preclinical studies and clinical trials;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research, develop and, if approved, subsequently commercialize any product candidates we may develop;</w:t>
      </w:r>
    </w:p>
    <w:p>
      <w:pPr>
        <w:spacing w:after="0" w:line="8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submit applications for, and obtain and, if approved, maintain regulatory approvals for our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 for additional capital;</w:t>
      </w:r>
    </w:p>
    <w:p>
      <w:pPr>
        <w:spacing w:after="0" w:line="82"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fund our operating expenses and capital expenditure requirements with our cash and cash equivalents;</w:t>
      </w:r>
    </w:p>
    <w:p>
      <w:pPr>
        <w:spacing w:after="0" w:line="55"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our current and future product candidates, including our beliefs regarding the potential benefits of our current and future product candidates in combination with other agents;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the addressable patient population and potential market opportunity for our current and future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ability to obtain and maintain intellectual property protection for our product candidates;</w:t>
      </w:r>
    </w:p>
    <w:p>
      <w:pPr>
        <w:spacing w:after="0" w:line="105" w:lineRule="exact"/>
        <w:rPr>
          <w:rFonts w:ascii="Times New Roman" w:cs="Times New Roman" w:eastAsia="Times New Roman" w:hAnsi="Times New Roman"/>
          <w:sz w:val="12"/>
          <w:szCs w:val="12"/>
          <w:color w:val="auto"/>
        </w:rPr>
      </w:pPr>
    </w:p>
    <w:p>
      <w:pPr>
        <w:ind w:left="1440" w:right="91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additional products, product candidates or technologies with significant commercial potential that are consistent with our research, development and commercial objectives;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82" w:lineRule="exact"/>
        <w:rPr>
          <w:rFonts w:ascii="Times New Roman" w:cs="Times New Roman" w:eastAsia="Times New Roman" w:hAnsi="Times New Roman"/>
          <w:sz w:val="14"/>
          <w:szCs w:val="14"/>
          <w:color w:val="auto"/>
        </w:rPr>
      </w:pPr>
    </w:p>
    <w:p>
      <w:pPr>
        <w:ind w:left="1440" w:right="141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and expectations regarding developments and projections relating to our current or future competitors and any competing therapies that are or become available;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or obtain additional funding;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an emerging growth company under the JOBS Act.</w:t>
      </w:r>
    </w:p>
    <w:p>
      <w:pPr>
        <w:spacing w:after="0" w:line="163" w:lineRule="exact"/>
        <w:rPr>
          <w:sz w:val="20"/>
          <w:szCs w:val="20"/>
          <w:color w:val="auto"/>
        </w:rPr>
      </w:pPr>
    </w:p>
    <w:p>
      <w:pPr>
        <w:ind w:left="860" w:right="899" w:firstLine="331"/>
        <w:spacing w:after="0" w:line="288" w:lineRule="auto"/>
        <w:rPr>
          <w:sz w:val="20"/>
          <w:szCs w:val="20"/>
          <w:color w:val="auto"/>
        </w:rPr>
      </w:pPr>
      <w:r>
        <w:rPr>
          <w:rFonts w:ascii="Times New Roman" w:cs="Times New Roman" w:eastAsia="Times New Roman" w:hAnsi="Times New Roman"/>
          <w:sz w:val="12"/>
          <w:szCs w:val="12"/>
          <w:color w:val="auto"/>
        </w:rPr>
        <w:t>Any forward-looking statements in this prospectus or the documents incorporated by reference herein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and the documents incorporated by reference herein, particularly in the sections entitled “Risk Factors”,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7"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Leerink Partners as a source of financing. We intend to use the net proceeds, if any, from this offering for working capital, capital expenditures and other general corporate purposes.</w:t>
      </w:r>
    </w:p>
    <w:p>
      <w:pPr>
        <w:spacing w:after="0" w:line="145" w:lineRule="exact"/>
        <w:rPr>
          <w:sz w:val="20"/>
          <w:szCs w:val="20"/>
          <w:color w:val="auto"/>
        </w:rPr>
      </w:pPr>
    </w:p>
    <w:p>
      <w:pPr>
        <w:jc w:val="both"/>
        <w:ind w:left="860" w:right="1019" w:firstLine="331"/>
        <w:spacing w:after="0" w:line="248" w:lineRule="auto"/>
        <w:rPr>
          <w:sz w:val="20"/>
          <w:szCs w:val="20"/>
          <w:color w:val="auto"/>
        </w:rPr>
      </w:pPr>
      <w:r>
        <w:rPr>
          <w:rFonts w:ascii="Times New Roman" w:cs="Times New Roman" w:eastAsia="Times New Roman" w:hAnsi="Times New Roman"/>
          <w:sz w:val="14"/>
          <w:szCs w:val="14"/>
          <w:color w:val="auto"/>
        </w:rPr>
        <w:t>The amounts and timing of our actual expenditures will depend on numerous factors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w:t>
      </w:r>
    </w:p>
    <w:p>
      <w:pPr>
        <w:spacing w:after="0" w:line="145" w:lineRule="exact"/>
        <w:rPr>
          <w:sz w:val="20"/>
          <w:szCs w:val="20"/>
          <w:color w:val="auto"/>
        </w:rPr>
      </w:pPr>
    </w:p>
    <w:p>
      <w:pPr>
        <w:ind w:left="860" w:right="1219" w:firstLine="331"/>
        <w:spacing w:after="0" w:line="251" w:lineRule="auto"/>
        <w:rPr>
          <w:sz w:val="20"/>
          <w:szCs w:val="20"/>
          <w:color w:val="auto"/>
        </w:rPr>
      </w:pPr>
      <w:r>
        <w:rPr>
          <w:rFonts w:ascii="Times New Roman" w:cs="Times New Roman" w:eastAsia="Times New Roman" w:hAnsi="Times New Roman"/>
          <w:sz w:val="14"/>
          <w:szCs w:val="14"/>
          <w:color w:val="auto"/>
        </w:rPr>
        <w:t>Pending application of the net proceeds as described above, we intend to invest the net proceeds in a variety of capital preservation investments including short-term, investment-grade, interest-bearing instruments, certificates of deposit or direct or guaranteed obligations of the U.S. government.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67" w:lineRule="exact"/>
        <w:rPr>
          <w:sz w:val="20"/>
          <w:szCs w:val="20"/>
          <w:color w:val="auto"/>
        </w:rPr>
      </w:pPr>
    </w:p>
    <w:p>
      <w:pPr>
        <w:ind w:left="860" w:right="999" w:firstLine="331"/>
        <w:spacing w:after="0" w:line="246" w:lineRule="auto"/>
        <w:rPr>
          <w:sz w:val="20"/>
          <w:szCs w:val="20"/>
          <w:color w:val="auto"/>
        </w:rPr>
      </w:pPr>
      <w:r>
        <w:rPr>
          <w:rFonts w:ascii="Times New Roman" w:cs="Times New Roman" w:eastAsia="Times New Roman" w:hAnsi="Times New Roman"/>
          <w:sz w:val="14"/>
          <w:szCs w:val="14"/>
          <w:color w:val="auto"/>
        </w:rPr>
        <w:t>Our net tangible book value as of March 31, 2026 was approximately $72.5 million, or $12.55 per share. Net tangible book value per share is determined by dividing our total tangible assets, less total liabilities, by the number of shares of our common stock outstanding as of March 31, 2026.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48" w:lineRule="exact"/>
        <w:rPr>
          <w:sz w:val="20"/>
          <w:szCs w:val="20"/>
          <w:color w:val="auto"/>
        </w:rPr>
      </w:pPr>
    </w:p>
    <w:p>
      <w:pPr>
        <w:ind w:left="860" w:right="999" w:firstLine="331"/>
        <w:spacing w:after="0" w:line="297" w:lineRule="auto"/>
        <w:rPr>
          <w:sz w:val="20"/>
          <w:szCs w:val="20"/>
          <w:color w:val="auto"/>
        </w:rPr>
      </w:pPr>
      <w:r>
        <w:rPr>
          <w:rFonts w:ascii="Times New Roman" w:cs="Times New Roman" w:eastAsia="Times New Roman" w:hAnsi="Times New Roman"/>
          <w:sz w:val="12"/>
          <w:szCs w:val="12"/>
          <w:color w:val="auto"/>
        </w:rPr>
        <w:t>Our pro forma net tangible book value as of March 31, 2026 was approximately $72.6 million, or $3.80 per share. Our pro forma net tangible book value is the amount of our total tangible assets less our total tangible liabilities, after giving effect to an aggregate 13,307,918 prefunded warrants issued and outstanding as of March 31, 2026 (and assuming full exercise of the prefunded warrants). Pro forma net tangible book value per share represents our pro forma net tangible book value divided by the total number of shares of common stock outstanding as of March 31, 2026, giving effect to the pro forma adjustments described above.</w:t>
      </w:r>
    </w:p>
    <w:p>
      <w:pPr>
        <w:spacing w:after="0" w:line="1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After giving effect to the assumed sale of 1,736,526 shares of our common stock in the aggregate amount of approximately</w:t>
      </w:r>
    </w:p>
    <w:p>
      <w:pPr>
        <w:spacing w:after="0" w:line="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$14,500,000 in this offering at an assumed offering price of $8.35 per share, the last reported sale price of our common stock on The</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Nasdaq Capital Market on May 26, 2026, and after deducting commissions and estimated aggregate offering expenses payable by us,</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our pro forma as adjusted net tangible book value as of March 31, 2026 would have been approximately $86.2 million, or $4.14 per</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share. This represents an immediate increase in pro forma as adjusted net tangible book value of $0.34 per share to existing</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stockholders and immediate dilution in pro forma as adjusted net tangible book value of $4.21 per share to new investors purchasing</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our common stock in this offering. The following table illustrates this dilution on a per share basis: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Historical net tangible book value per share as of March 31, 2026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Decrease in net tangible book value per share attributable to the pro forma adjustments described</w:t>
            </w:r>
          </w:p>
        </w:tc>
        <w:tc>
          <w:tcPr>
            <w:tcW w:w="2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(8.75)</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above</w:t>
            </w:r>
          </w:p>
        </w:tc>
        <w:tc>
          <w:tcPr>
            <w:tcW w:w="2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60" w:type="dxa"/>
            <w:vAlign w:val="bottom"/>
            <w:tcBorders>
              <w:top w:val="single" w:sz="8" w:color="CFF0FC"/>
            </w:tcBorders>
          </w:tcPr>
          <w:p>
            <w:pPr>
              <w:ind w:left="240"/>
              <w:spacing w:after="0" w:line="152" w:lineRule="exact"/>
              <w:rPr>
                <w:sz w:val="20"/>
                <w:szCs w:val="20"/>
                <w:color w:val="auto"/>
              </w:rPr>
            </w:pPr>
            <w:r>
              <w:rPr>
                <w:rFonts w:ascii="Times New Roman" w:cs="Times New Roman" w:eastAsia="Times New Roman" w:hAnsi="Times New Roman"/>
                <w:sz w:val="14"/>
                <w:szCs w:val="14"/>
                <w:color w:val="auto"/>
              </w:rPr>
              <w:t>Pro forma net tangible book value per share as of March 31, 2026</w:t>
            </w:r>
          </w:p>
        </w:tc>
        <w:tc>
          <w:tcPr>
            <w:tcW w:w="26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3.80</w:t>
            </w:r>
          </w:p>
        </w:tc>
        <w:tc>
          <w:tcPr>
            <w:tcW w:w="280" w:type="dxa"/>
            <w:vAlign w:val="bottom"/>
            <w:tcBorders>
              <w:top w:val="single" w:sz="8" w:color="CFF0FC"/>
            </w:tcBorders>
          </w:tcPr>
          <w:p>
            <w:pPr>
              <w:spacing w:after="0"/>
              <w:rPr>
                <w:sz w:val="13"/>
                <w:szCs w:val="13"/>
                <w:color w:val="auto"/>
              </w:rPr>
            </w:pPr>
          </w:p>
        </w:tc>
        <w:tc>
          <w:tcPr>
            <w:tcW w:w="5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w w:val="98"/>
              </w:rPr>
              <w:t>Increase in pro forma as adjusted net tangible book value per share attributable to new investors</w:t>
            </w:r>
          </w:p>
        </w:tc>
        <w:tc>
          <w:tcPr>
            <w:tcW w:w="26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purchasing shares in this offering</w:t>
            </w:r>
          </w:p>
        </w:tc>
        <w:tc>
          <w:tcPr>
            <w:tcW w:w="26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Pro forma as adjusted net tangible book value per share after giving effect to this offering</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tcBorders>
              <w:bottom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Dilution per share to new investors purchasing shares in this offering</w:t>
            </w:r>
          </w:p>
        </w:tc>
        <w:tc>
          <w:tcPr>
            <w:tcW w:w="26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gridSpan w:val="2"/>
            <w:shd w:val="clear" w:color="auto" w:fill="CFF0FC"/>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-546100</wp:posOffset>
            </wp:positionV>
            <wp:extent cx="4508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-237490</wp:posOffset>
            </wp:positionV>
            <wp:extent cx="4508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-18415</wp:posOffset>
            </wp:positionV>
            <wp:extent cx="4508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-5715</wp:posOffset>
            </wp:positionV>
            <wp:extent cx="4508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shares sold in this offering, if any, will be sold from time to time at various prices. An increase of $1.00 per share in the</w:t>
      </w:r>
    </w:p>
    <w:p>
      <w:pPr>
        <w:spacing w:after="0" w:line="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price at which the shares are sold from the assumed offering price of $8.35 per share shown in the table above, assuming all of our</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common stock in the aggregate amount of $14,500,000 is sold at that price, would increase our pro forma as adjusted net tangible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book value per share after the offering to $4.18 per share and would increase the dilution in net tangible book value per share to new</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investors to $5.17 per share, after deducting commissions and estimated aggregate offering expenses payable by us. A decrease of</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$1.00 per share in the price at which the shares are sold from the assumed offering price of $8.35 per share shown in the table above,</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assuming all of our common stock in the aggregate amount of $14,500,000 is sold at that price, would decrease our pro forma as</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adjusted net tangible book value per share after the offering to $4.09 per share and would decrease the dilution in net tangible book</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value per share to new investors to $3.26 per share, after deducting commissions and estimated aggregate offering expenses payable</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by us. This information is supplied for illustrative purposes only.</w:t>
      </w:r>
    </w:p>
    <w:p>
      <w:pPr>
        <w:spacing w:after="0" w:line="151"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To the extent that outstanding options, prefunded warrants or warrants are exercised or outstanding restricted stock units vest,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48" w:lineRule="exact"/>
        <w:rPr>
          <w:sz w:val="20"/>
          <w:szCs w:val="20"/>
          <w:color w:val="auto"/>
        </w:rPr>
      </w:pPr>
    </w:p>
    <w:p>
      <w:pPr>
        <w:ind w:left="860" w:right="1039" w:firstLine="331"/>
        <w:spacing w:after="0" w:line="251" w:lineRule="auto"/>
        <w:rPr>
          <w:sz w:val="20"/>
          <w:szCs w:val="20"/>
          <w:color w:val="auto"/>
        </w:rPr>
      </w:pPr>
      <w:r>
        <w:rPr>
          <w:rFonts w:ascii="Times New Roman" w:cs="Times New Roman" w:eastAsia="Times New Roman" w:hAnsi="Times New Roman"/>
          <w:sz w:val="14"/>
          <w:szCs w:val="14"/>
          <w:color w:val="auto"/>
        </w:rPr>
        <w:t>The above discussion and table are based on 19,090,454 shares of our common stock issued and outstanding on a pro forma basis, which represents 5,782,536 shares of common stock outstanding as of March 31, 2026 plus 13,307,918 prefunded warrants in lieu of shares of common stock issuable and outstanding at March 31, 2026, and exclude:</w:t>
      </w:r>
    </w:p>
    <w:p>
      <w:pPr>
        <w:spacing w:after="0" w:line="62" w:lineRule="exact"/>
        <w:rPr>
          <w:sz w:val="20"/>
          <w:szCs w:val="20"/>
          <w:color w:val="auto"/>
        </w:rPr>
      </w:pPr>
    </w:p>
    <w:p>
      <w:pPr>
        <w:ind w:left="1440" w:right="1139" w:hanging="252"/>
        <w:spacing w:after="0" w:line="261" w:lineRule="auto"/>
        <w:tabs>
          <w:tab w:leader="none" w:pos="1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2,767,285 shares of our common stock issuable upon the exercise of stock options to purchase common stock that were outstanding as of March 31, 2026, with a weighted-average exercise price of $14.41 per share;</w:t>
      </w:r>
    </w:p>
    <w:p>
      <w:pPr>
        <w:spacing w:after="0" w:line="55" w:lineRule="exact"/>
        <w:rPr>
          <w:rFonts w:ascii="Times New Roman" w:cs="Times New Roman" w:eastAsia="Times New Roman" w:hAnsi="Times New Roman"/>
          <w:sz w:val="14"/>
          <w:szCs w:val="14"/>
          <w:color w:val="auto"/>
        </w:rPr>
      </w:pPr>
    </w:p>
    <w:p>
      <w:pPr>
        <w:ind w:left="1440" w:right="879" w:hanging="252"/>
        <w:spacing w:after="0" w:line="261" w:lineRule="auto"/>
        <w:tabs>
          <w:tab w:leader="none" w:pos="1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15,914 shares of our common stock issuable upon the vesting of restricted stock units that were outstanding and unvested as of March 31, 2026;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6" w:name="page47"/>
    <w:bookmarkEnd w:id="46"/>
    <w:p>
      <w:pPr>
        <w:ind w:left="1440" w:right="89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4,762,533 shares of our common stock issuable upon the exercise of Series A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40" w:right="89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3,443,388 shares of our common stock issuable upon the exercise of Series C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40" w:right="999" w:hanging="252"/>
        <w:spacing w:after="0" w:line="313" w:lineRule="auto"/>
        <w:tabs>
          <w:tab w:leader="none" w:pos="1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356,689 shares of our common stock reserved for issuance pursuant to future awards under our 2021 Stock Incentive Plan (the 2021 Plan) as of March 31, 2026, as well as any shares of our common stock that may be reserved for issuance in connection with future automatic increases of shares issuable under the 2021 Plan in accordance with its terms;</w:t>
      </w:r>
    </w:p>
    <w:p>
      <w:pPr>
        <w:spacing w:after="0" w:line="27" w:lineRule="exact"/>
        <w:rPr>
          <w:rFonts w:ascii="Times New Roman" w:cs="Times New Roman" w:eastAsia="Times New Roman" w:hAnsi="Times New Roman"/>
          <w:sz w:val="12"/>
          <w:szCs w:val="12"/>
          <w:color w:val="auto"/>
        </w:rPr>
      </w:pPr>
    </w:p>
    <w:p>
      <w:pPr>
        <w:ind w:left="1440" w:right="93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52,812 shares of our common stock reserved for issuance pursuant to future awards under our Amended and Restated 2022 Inducement Stock Incentive Plan (the 2022 Inducement Plan) as of March 31, 2026;</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21,805 shares of our common stock reserved for issuance pursuant to future awards under our 2025 Stock Incentive Plan (the 2025 Plan) as of March 31, 2026;</w:t>
      </w:r>
    </w:p>
    <w:p>
      <w:pPr>
        <w:spacing w:after="0" w:line="55" w:lineRule="exact"/>
        <w:rPr>
          <w:rFonts w:ascii="Times New Roman" w:cs="Times New Roman" w:eastAsia="Times New Roman" w:hAnsi="Times New Roman"/>
          <w:sz w:val="14"/>
          <w:szCs w:val="14"/>
          <w:color w:val="auto"/>
        </w:rPr>
      </w:pPr>
    </w:p>
    <w:p>
      <w:pPr>
        <w:ind w:left="1440" w:right="1159" w:hanging="252"/>
        <w:spacing w:after="0" w:line="25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131,321 shares of our common stock reserved for issuance pursuant to future awards under our 2021 Employee Stock Purchase Plan (the ESPP), as well as any shares of common stock that may be reserved for issuance in connection with future automatic increases of shares issuable under the ESPP in accordance with its terms;</w:t>
      </w:r>
    </w:p>
    <w:p>
      <w:pPr>
        <w:spacing w:after="0" w:line="62" w:lineRule="exact"/>
        <w:rPr>
          <w:rFonts w:ascii="Times New Roman" w:cs="Times New Roman" w:eastAsia="Times New Roman" w:hAnsi="Times New Roman"/>
          <w:sz w:val="14"/>
          <w:szCs w:val="14"/>
          <w:color w:val="auto"/>
        </w:rPr>
      </w:pPr>
    </w:p>
    <w:p>
      <w:pPr>
        <w:ind w:left="1440" w:right="99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 shares of common stock issuable upon the exercise of a warrant to purchase common stock that was outstanding as of March 31, 2026, with an exercise price of $133.00; and</w:t>
      </w:r>
    </w:p>
    <w:p>
      <w:pPr>
        <w:spacing w:after="0" w:line="55" w:lineRule="exact"/>
        <w:rPr>
          <w:rFonts w:ascii="Times New Roman" w:cs="Times New Roman" w:eastAsia="Times New Roman" w:hAnsi="Times New Roman"/>
          <w:sz w:val="14"/>
          <w:szCs w:val="14"/>
          <w:color w:val="auto"/>
        </w:rPr>
      </w:pPr>
    </w:p>
    <w:p>
      <w:pPr>
        <w:ind w:left="1440" w:right="139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592,300 shares of our common stock that were issued and sold subsequent to March 31, 2026 pursuant to the sales agreement and prior prospectus.</w:t>
      </w:r>
    </w:p>
    <w:p>
      <w:pPr>
        <w:spacing w:after="0" w:line="136" w:lineRule="exact"/>
        <w:rPr>
          <w:sz w:val="20"/>
          <w:szCs w:val="20"/>
          <w:color w:val="auto"/>
        </w:rPr>
      </w:pPr>
    </w:p>
    <w:p>
      <w:pPr>
        <w:ind w:left="860" w:right="1359" w:firstLine="331"/>
        <w:spacing w:after="0" w:line="345" w:lineRule="auto"/>
        <w:rPr>
          <w:sz w:val="20"/>
          <w:szCs w:val="20"/>
          <w:color w:val="auto"/>
        </w:rPr>
      </w:pPr>
      <w:r>
        <w:rPr>
          <w:rFonts w:ascii="Times New Roman" w:cs="Times New Roman" w:eastAsia="Times New Roman" w:hAnsi="Times New Roman"/>
          <w:sz w:val="12"/>
          <w:szCs w:val="12"/>
          <w:color w:val="auto"/>
        </w:rPr>
        <w:t>In addition, unless we specifically state otherwise, all information in this prospectus reflects and assumes no exercise of outstanding stock options, vesting of restricted stock units, or exercise of prefunded warrants or warrants described above.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67"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The following description of our common stock is intended as a summary only and therefore is not a complete description of our common stock. This description is based upon, and is qualified by reference to, our restated certificate of incorporation, as amended (restated certificate of incorporation), our second amended and restated bylaws and applicable provisions of Delaware corporate law. You should read our restated certificate of incorporation and second amended and restated bylaws, which are filed as exhibits to the registration statement of which this prospectus forms a part, for the provisions that are important to you.</w:t>
      </w:r>
    </w:p>
    <w:p>
      <w:pPr>
        <w:spacing w:after="0" w:line="148"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Our authorized capital stock consists of 600,000,000 shares of common stock, par value $0.0001 per share, and 5,000,000 shares of preferred stock, par value $0.0001 per share, all of which preferred stock is undesignated. Our common stock is registered under Section 12(b) of the Exchange Act.</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4"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Annual Meeting. </w:t>
      </w:r>
      <w:r>
        <w:rPr>
          <w:rFonts w:ascii="Times New Roman" w:cs="Times New Roman" w:eastAsia="Times New Roman" w:hAnsi="Times New Roman"/>
          <w:sz w:val="14"/>
          <w:szCs w:val="14"/>
          <w:color w:val="auto"/>
        </w:rPr>
        <w:t>Annual meetings of our stockholders are held on the date designated in accordance with our second amended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Except as may be otherwise provided by applicable law, our restated certificate of incorporation or our second amended and restated bylaws, all elections shall be decided by a plurality, and all other questions shall be decided by a majority, of the votes cast by stockholders entitled to vote thereon at a duly held meeting of stockholders at which a quorum is present.</w:t>
      </w:r>
    </w:p>
    <w:p>
      <w:pPr>
        <w:spacing w:after="0" w:line="150"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common stock is entitled to one vote for each share held of record on all matters to be voted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stockholders, including the election of directors. Our restated certificate of incorporation and second amended and restated bylaws do not provide for cumulative voting rights. Except as otherwise provided by law, our restated certificate of incorporation or our second amended and restated bylaws, in all matters other than the election of directors, the affirmative vote of the majority of the shares present in person or represented by proxy at a meeting at which a quorum is present and entitled to vote on the subject matter shall be the act of the stockholders. Directors shall be elected by a plurality of the shares present in person or represented by proxy at a meeting at which a quorum is present and entitled to vote on the election of directors.</w:t>
      </w:r>
    </w:p>
    <w:p>
      <w:pPr>
        <w:spacing w:after="0" w:line="146" w:lineRule="exact"/>
        <w:rPr>
          <w:sz w:val="20"/>
          <w:szCs w:val="20"/>
          <w:color w:val="auto"/>
        </w:rPr>
      </w:pPr>
    </w:p>
    <w:p>
      <w:pPr>
        <w:ind w:left="860" w:right="89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the rights, powers and preferences of any outstanding preferred stock, and except as provided by law or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restated certificate of incorporation, dividends may be declared and paid or set aside for payment on the common stock out of legally available assets or funds when and as declared by the board of directors. The payment of dividends is contingent upon our revenue and earnings, capital requirements, and general financial condition, as well as contractual restrictions and other considerations deemed to be relevant by our board of directors.</w:t>
      </w:r>
    </w:p>
    <w:p>
      <w:pPr>
        <w:spacing w:after="0" w:line="144" w:lineRule="exact"/>
        <w:rPr>
          <w:sz w:val="20"/>
          <w:szCs w:val="20"/>
          <w:color w:val="auto"/>
        </w:rPr>
      </w:pPr>
    </w:p>
    <w:p>
      <w:pPr>
        <w:jc w:val="both"/>
        <w:ind w:left="860" w:right="99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Liquidation, Dissolution and Winding Up</w:t>
      </w:r>
      <w:r>
        <w:rPr>
          <w:rFonts w:ascii="Times New Roman" w:cs="Times New Roman" w:eastAsia="Times New Roman" w:hAnsi="Times New Roman"/>
          <w:sz w:val="12"/>
          <w:szCs w:val="12"/>
          <w:color w:val="auto"/>
        </w:rPr>
        <w:t>. Subject to the rights, powers and preferences of any outstanding preferred stock,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event of our liquidation, dissolution or winding up, our net assets will be distributed pro rata to the holders of our common stock.</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i w:val="1"/>
          <w:iCs w:val="1"/>
          <w:color w:val="auto"/>
        </w:rPr>
        <w:t>Other Rights</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the common stock have no right to:</w:t>
      </w:r>
    </w:p>
    <w:p>
      <w:pPr>
        <w:spacing w:after="0" w:line="82" w:lineRule="exact"/>
        <w:rPr>
          <w:sz w:val="20"/>
          <w:szCs w:val="20"/>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the stock into any other security;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stock redeemed;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additional stock;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their proportionate ownership interest.</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shares of the common stock are not required to make additional capital contributions.</w:t>
      </w:r>
    </w:p>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Computershare Trust Company, N.A. is transfer agent and registrar for the common stock.</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8" w:name="page49"/>
    <w:bookmarkEnd w:id="48"/>
    <w:p>
      <w:pPr>
        <w:ind w:left="860" w:right="1019"/>
        <w:spacing w:after="0" w:line="267" w:lineRule="auto"/>
        <w:rPr>
          <w:sz w:val="20"/>
          <w:szCs w:val="20"/>
          <w:color w:val="auto"/>
        </w:rPr>
      </w:pPr>
      <w:r>
        <w:rPr>
          <w:rFonts w:ascii="Times New Roman" w:cs="Times New Roman" w:eastAsia="Times New Roman" w:hAnsi="Times New Roman"/>
          <w:sz w:val="14"/>
          <w:szCs w:val="14"/>
          <w:b w:val="1"/>
          <w:bCs w:val="1"/>
          <w:color w:val="auto"/>
        </w:rPr>
        <w:t>Provisions of Our Restated Certificate of Incorporation and Second Amended and Restated Bylaws and Delaware Law That May Have Anti-Takeover Effects</w:t>
      </w:r>
    </w:p>
    <w:p>
      <w:pPr>
        <w:spacing w:after="0" w:line="51"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Certain provisions of our restated certificate of incorporation and second amended and restated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46" w:lineRule="exact"/>
        <w:rPr>
          <w:sz w:val="20"/>
          <w:szCs w:val="20"/>
          <w:color w:val="auto"/>
        </w:rPr>
      </w:pPr>
    </w:p>
    <w:p>
      <w:pPr>
        <w:ind w:left="860" w:right="95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No Cumulative Voting. </w:t>
      </w:r>
      <w:r>
        <w:rPr>
          <w:rFonts w:ascii="Times New Roman" w:cs="Times New Roman" w:eastAsia="Times New Roman" w:hAnsi="Times New Roman"/>
          <w:sz w:val="14"/>
          <w:szCs w:val="14"/>
          <w:color w:val="auto"/>
        </w:rPr>
        <w:t>The Delaware General Corporation Law (DGCL) provides that stockholders are not entitled to the right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accumulate votes in the election of directors unless our restated certificate of incorporation provides otherwise. Our restated certificate of incorporation does not provide for cumulative voting.</w:t>
      </w:r>
    </w:p>
    <w:p>
      <w:pPr>
        <w:spacing w:after="0" w:line="139" w:lineRule="exact"/>
        <w:rPr>
          <w:sz w:val="20"/>
          <w:szCs w:val="20"/>
          <w:color w:val="auto"/>
        </w:rPr>
      </w:pPr>
    </w:p>
    <w:p>
      <w:pPr>
        <w:ind w:left="860" w:right="93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Our restated certificate of incorporation provides for a board of directors divided as nearly equally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possible into three classes. Each class is elected to a term expiring at the annual meeting of stockholders held in the third year following the year of such election. The number of directors comprising our board of directors is fixed from time to time by the board of directors.</w:t>
      </w:r>
    </w:p>
    <w:p>
      <w:pPr>
        <w:spacing w:after="0" w:line="142" w:lineRule="exact"/>
        <w:rPr>
          <w:sz w:val="20"/>
          <w:szCs w:val="20"/>
          <w:color w:val="auto"/>
        </w:rPr>
      </w:pPr>
    </w:p>
    <w:p>
      <w:pPr>
        <w:ind w:left="860" w:right="93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Removal of Directors by Stockholders</w:t>
      </w:r>
      <w:r>
        <w:rPr>
          <w:rFonts w:ascii="Times New Roman" w:cs="Times New Roman" w:eastAsia="Times New Roman" w:hAnsi="Times New Roman"/>
          <w:sz w:val="12"/>
          <w:szCs w:val="12"/>
          <w:color w:val="auto"/>
        </w:rPr>
        <w:t>. Delaware law provides that members of our board of directors may only be removed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cause by a vote of the holders of at least 75% of the outstanding shares entitled to vote on the election of the directors.</w:t>
      </w:r>
    </w:p>
    <w:p>
      <w:pPr>
        <w:spacing w:after="0" w:line="86" w:lineRule="exact"/>
        <w:rPr>
          <w:sz w:val="20"/>
          <w:szCs w:val="20"/>
          <w:color w:val="auto"/>
        </w:rPr>
      </w:pPr>
    </w:p>
    <w:p>
      <w:pPr>
        <w:ind w:left="860" w:right="99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Vacancies Filled Only by Majority of Directors Then in Office</w:t>
      </w:r>
      <w:r>
        <w:rPr>
          <w:rFonts w:ascii="Times New Roman" w:cs="Times New Roman" w:eastAsia="Times New Roman" w:hAnsi="Times New Roman"/>
          <w:sz w:val="14"/>
          <w:szCs w:val="14"/>
          <w:color w:val="auto"/>
        </w:rPr>
        <w:t>. Vacancies and newly created seats on our board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filled only by our board of directors. Further, only our board of directors may determine the number of directors on our board. The inability of stockholders to determine the number of directors or to fill vacancies or newly created seats on the board makes it more difficult to change the composition of our board of directors.</w:t>
      </w:r>
    </w:p>
    <w:p>
      <w:pPr>
        <w:spacing w:after="0" w:line="142" w:lineRule="exact"/>
        <w:rPr>
          <w:sz w:val="20"/>
          <w:szCs w:val="20"/>
          <w:color w:val="auto"/>
        </w:rPr>
      </w:pPr>
    </w:p>
    <w:p>
      <w:pPr>
        <w:ind w:left="860" w:right="93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Stockholder Nomination of Directors</w:t>
      </w:r>
      <w:r>
        <w:rPr>
          <w:rFonts w:ascii="Times New Roman" w:cs="Times New Roman" w:eastAsia="Times New Roman" w:hAnsi="Times New Roman"/>
          <w:sz w:val="14"/>
          <w:szCs w:val="14"/>
          <w:color w:val="auto"/>
        </w:rPr>
        <w:t>. Our second amended and restated bylaws provide that a stockholder must notify us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writing of any stockholder nomination of a director not earlier than the 120th day and not later than the 90th day prior to the first anniversary of the preceding year’s annual meeting; provided, that if the date of the annual meeting is advanced by more than 30 days or delayed by more than 60 days from such anniversary date, notice by the stockholder to be timely must be so delivered not earlier than the 120th day prior to the date of such annual meeting and not later than the later of (x) the 90th day prior to the date of such annual meeting and (y) the 10th day following the day on which notice of the date of such annual meeting was given or public announcement of the date of such annual meeting is first made by us, whichever first occurs.</w:t>
      </w:r>
    </w:p>
    <w:p>
      <w:pPr>
        <w:spacing w:after="0" w:line="146" w:lineRule="exact"/>
        <w:rPr>
          <w:sz w:val="20"/>
          <w:szCs w:val="20"/>
          <w:color w:val="auto"/>
        </w:rPr>
      </w:pPr>
    </w:p>
    <w:p>
      <w:pPr>
        <w:ind w:left="860" w:right="10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No Action By Written Consent</w:t>
      </w:r>
      <w:r>
        <w:rPr>
          <w:rFonts w:ascii="Times New Roman" w:cs="Times New Roman" w:eastAsia="Times New Roman" w:hAnsi="Times New Roman"/>
          <w:sz w:val="14"/>
          <w:szCs w:val="14"/>
          <w:color w:val="auto"/>
        </w:rPr>
        <w:t>. Our restated certificate of incorporation provides that our stockholders may not act by written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consent and may only act at duly called meetings of stockholders.</w:t>
      </w:r>
    </w:p>
    <w:p>
      <w:pPr>
        <w:spacing w:after="0" w:line="132" w:lineRule="exact"/>
        <w:rPr>
          <w:sz w:val="20"/>
          <w:szCs w:val="20"/>
          <w:color w:val="auto"/>
        </w:rPr>
      </w:pPr>
    </w:p>
    <w:p>
      <w:pPr>
        <w:ind w:left="860" w:right="93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Undesignated Preferred Stock. </w:t>
      </w:r>
      <w:r>
        <w:rPr>
          <w:rFonts w:ascii="Times New Roman" w:cs="Times New Roman" w:eastAsia="Times New Roman" w:hAnsi="Times New Roman"/>
          <w:sz w:val="14"/>
          <w:szCs w:val="14"/>
          <w:color w:val="auto"/>
        </w:rPr>
        <w:t>Our board of directors has the ability to issue preferred stock with voting or other rights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preferences that could impede the success of any attempt to change control of our company. These and other provisions may have the effect of deferring hostile takeovers or delaying changes in control or management of us.</w:t>
      </w:r>
    </w:p>
    <w:p>
      <w:pPr>
        <w:spacing w:after="0" w:line="141"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These provisions of Delaware law, our restated certificate of incorporation and our second amended and restated bylaws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48" w:lineRule="exact"/>
        <w:rPr>
          <w:sz w:val="20"/>
          <w:szCs w:val="20"/>
          <w:color w:val="auto"/>
        </w:rPr>
      </w:pPr>
    </w:p>
    <w:p>
      <w:pPr>
        <w:ind w:left="860" w:right="899" w:firstLine="331"/>
        <w:spacing w:after="0" w:line="291" w:lineRule="auto"/>
        <w:rPr>
          <w:sz w:val="20"/>
          <w:szCs w:val="20"/>
          <w:color w:val="auto"/>
        </w:rPr>
      </w:pPr>
      <w:r>
        <w:rPr>
          <w:rFonts w:ascii="Times New Roman" w:cs="Times New Roman" w:eastAsia="Times New Roman" w:hAnsi="Times New Roman"/>
          <w:sz w:val="12"/>
          <w:szCs w:val="12"/>
          <w:i w:val="1"/>
          <w:iCs w:val="1"/>
          <w:color w:val="auto"/>
        </w:rPr>
        <w:t>Exclusive Forum Selection</w:t>
      </w:r>
      <w:r>
        <w:rPr>
          <w:rFonts w:ascii="Times New Roman" w:cs="Times New Roman" w:eastAsia="Times New Roman" w:hAnsi="Times New Roman"/>
          <w:sz w:val="12"/>
          <w:szCs w:val="12"/>
          <w:color w:val="auto"/>
        </w:rPr>
        <w:t>. Our restated certificate of incorporation provides that, unless we consent in writing to the selection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restated certificate of incorporation or second amended or restated bylaws (in each case, as they may be amended from time to time) or governed by the internal affairs doctrine. This choice of forum provision will not apply to actions arising under the Securities Act, the Exchange Act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sectPr>
      </w:pPr>
    </w:p>
    <w:bookmarkStart w:id="49" w:name="page50"/>
    <w:bookmarkEnd w:id="49"/>
    <w:p>
      <w:pPr>
        <w:ind w:left="860" w:right="919"/>
        <w:spacing w:after="0" w:line="246" w:lineRule="auto"/>
        <w:rPr>
          <w:sz w:val="20"/>
          <w:szCs w:val="20"/>
          <w:color w:val="auto"/>
        </w:rPr>
      </w:pPr>
      <w:r>
        <w:rPr>
          <w:rFonts w:ascii="Times New Roman" w:cs="Times New Roman" w:eastAsia="Times New Roman" w:hAnsi="Times New Roman"/>
          <w:sz w:val="14"/>
          <w:szCs w:val="14"/>
          <w:color w:val="auto"/>
        </w:rPr>
        <w:t>any other claim for which the federal courts have exclusive jurisdiction. Unless we consent in writing to the selection of an alternative forum, the federal district courts of the United States of America shall, to the fullest extent permitted by law, be the sole and exclusive forum for the resolution of any claims arising under the Securities Act. Although our restated certificate of incorporation contains the choice of forum provisions described above, it is possible that a court could rule that such a provision is inapplicable for a particular claim or action or that such provision is unenforceable.</w:t>
      </w:r>
    </w:p>
    <w:p>
      <w:pPr>
        <w:spacing w:after="0" w:line="146" w:lineRule="exact"/>
        <w:rPr>
          <w:sz w:val="20"/>
          <w:szCs w:val="20"/>
          <w:color w:val="auto"/>
        </w:rPr>
      </w:pPr>
    </w:p>
    <w:p>
      <w:pPr>
        <w:ind w:left="860" w:right="899" w:firstLine="33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Delaware Business Combination Statute. </w:t>
      </w:r>
      <w:r>
        <w:rPr>
          <w:rFonts w:ascii="Times New Roman" w:cs="Times New Roman" w:eastAsia="Times New Roman" w:hAnsi="Times New Roman"/>
          <w:sz w:val="14"/>
          <w:szCs w:val="14"/>
          <w:color w:val="auto"/>
        </w:rPr>
        <w:t>We are subject to Section 203 of the DGCL (Section 203), which prohibits a Delaware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66" w:lineRule="exact"/>
        <w:rPr>
          <w:sz w:val="20"/>
          <w:szCs w:val="20"/>
          <w:color w:val="auto"/>
        </w:rPr>
      </w:pPr>
    </w:p>
    <w:p>
      <w:pPr>
        <w:ind w:left="1440" w:right="999" w:hanging="252"/>
        <w:spacing w:after="0" w:line="261" w:lineRule="auto"/>
        <w:tabs>
          <w:tab w:leader="none" w:pos="1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45" w:lineRule="auto"/>
        <w:tabs>
          <w:tab w:leader="none" w:pos="1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4"/>
          <w:szCs w:val="14"/>
          <w:color w:val="auto"/>
        </w:rPr>
      </w:pPr>
    </w:p>
    <w:p>
      <w:pPr>
        <w:ind w:left="1440" w:right="959" w:hanging="252"/>
        <w:spacing w:after="0" w:line="251" w:lineRule="auto"/>
        <w:tabs>
          <w:tab w:leader="none" w:pos="1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In general, Section 203 defines business combinations to include the following:</w:t>
      </w:r>
    </w:p>
    <w:p>
      <w:pPr>
        <w:spacing w:after="0" w:line="82" w:lineRule="exact"/>
        <w:rPr>
          <w:sz w:val="20"/>
          <w:szCs w:val="20"/>
          <w:color w:val="auto"/>
        </w:rPr>
      </w:pPr>
    </w:p>
    <w:p>
      <w:pPr>
        <w:ind w:left="1440" w:hanging="252"/>
        <w:spacing w:after="0"/>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8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lease, transfer, pledge or other disposition of 10% or more of the assets of the corporation to or with the interested stockholder;</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or</w:t>
      </w:r>
    </w:p>
    <w:p>
      <w:pPr>
        <w:spacing w:after="0" w:line="55" w:lineRule="exact"/>
        <w:rPr>
          <w:rFonts w:ascii="Times New Roman" w:cs="Times New Roman" w:eastAsia="Times New Roman" w:hAnsi="Times New Roman"/>
          <w:sz w:val="14"/>
          <w:szCs w:val="14"/>
          <w:color w:val="auto"/>
        </w:rPr>
      </w:pPr>
    </w:p>
    <w:p>
      <w:pPr>
        <w:ind w:left="1440" w:right="93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loss, advances, guarantees, pledges or other financial benefits by or through the corporation.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37" w:right="1440"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7" w:lineRule="exact"/>
        <w:rPr>
          <w:sz w:val="20"/>
          <w:szCs w:val="20"/>
          <w:color w:val="auto"/>
        </w:rPr>
      </w:pPr>
    </w:p>
    <w:p>
      <w:pPr>
        <w:ind w:left="860" w:right="919" w:firstLine="331"/>
        <w:spacing w:after="0" w:line="290" w:lineRule="auto"/>
        <w:rPr>
          <w:sz w:val="20"/>
          <w:szCs w:val="20"/>
          <w:color w:val="auto"/>
        </w:rPr>
      </w:pPr>
      <w:r>
        <w:rPr>
          <w:rFonts w:ascii="Times New Roman" w:cs="Times New Roman" w:eastAsia="Times New Roman" w:hAnsi="Times New Roman"/>
          <w:sz w:val="12"/>
          <w:szCs w:val="12"/>
          <w:color w:val="auto"/>
        </w:rPr>
        <w:t>We have previously entered into a sales agreement with Leerink Partners, under which we may offer and sell our shares of common stock from time to time through Leerink Partners acting as agent. Pursuant to this prospectus, we may offer and sell up to $14,500,000 of our shares of common stock. As of the date of this prospectus, we have issued and sold shares of our common stock for aggregate gross sale proceeds of $4,596,248 pursuant to the sales agreement and a prior prospectus. Upon effectiveness of the registration statement of which this prospectus forms a part, we will not make any further offers or sales of our common stock pursuant to such prior prospectus. Sales of our shares of common stock, if any, under this prospectus will be made by any method that is deemed to be an “at the market offering” as defined in Rule 415(a)(4) under the Securities Act. The below description of the material provisions of the sales agreement does not purport to be a complete statement of its terms and conditions. A copy of the sales agreement has been filed as an exhibit to the registration statement of which this prospectus forms a part.</w:t>
      </w:r>
    </w:p>
    <w:p>
      <w:pPr>
        <w:spacing w:after="0" w:line="287" w:lineRule="exact"/>
        <w:rPr>
          <w:sz w:val="20"/>
          <w:szCs w:val="20"/>
          <w:color w:val="auto"/>
        </w:rPr>
      </w:pPr>
    </w:p>
    <w:p>
      <w:pPr>
        <w:ind w:left="860" w:right="1019" w:firstLine="331"/>
        <w:spacing w:after="0" w:line="244" w:lineRule="auto"/>
        <w:rPr>
          <w:sz w:val="20"/>
          <w:szCs w:val="20"/>
          <w:color w:val="auto"/>
        </w:rPr>
      </w:pPr>
      <w:r>
        <w:rPr>
          <w:rFonts w:ascii="Times New Roman" w:cs="Times New Roman" w:eastAsia="Times New Roman" w:hAnsi="Times New Roman"/>
          <w:sz w:val="14"/>
          <w:szCs w:val="14"/>
          <w:color w:val="auto"/>
        </w:rPr>
        <w:t>Leerink Partners will offer our common stock subject to the terms and conditions of the sales agreement on a daily basis or as otherwise agreed upon by us and Leerink Partners. We will designate the maximum number or amount of common stock to be sold through Leerink Partners on a daily basis or otherwise determine such maximum number or amount together with Leerink Partners. Subject to the terms and conditions of the sales agreement, Leerink Partners will use commercially reasonable efforts to sell on our behalf all of the common stock requested to be sold by us. We may instruct Leerink Partners not to sell common stock if the sales cannot be effected at or above a minimum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w:t>
      </w:r>
    </w:p>
    <w:p>
      <w:pPr>
        <w:spacing w:after="0" w:line="148" w:lineRule="exact"/>
        <w:rPr>
          <w:sz w:val="20"/>
          <w:szCs w:val="20"/>
          <w:color w:val="auto"/>
        </w:rPr>
      </w:pPr>
    </w:p>
    <w:p>
      <w:pPr>
        <w:ind w:left="860" w:right="979" w:firstLine="331"/>
        <w:spacing w:after="0" w:line="244" w:lineRule="auto"/>
        <w:rPr>
          <w:sz w:val="20"/>
          <w:szCs w:val="20"/>
          <w:color w:val="auto"/>
        </w:rPr>
      </w:pPr>
      <w:r>
        <w:rPr>
          <w:rFonts w:ascii="Times New Roman" w:cs="Times New Roman" w:eastAsia="Times New Roman" w:hAnsi="Times New Roman"/>
          <w:sz w:val="14"/>
          <w:szCs w:val="14"/>
          <w:color w:val="auto"/>
        </w:rPr>
        <w:t>The aggregate compensation payable to Leerink Partners is 3.0% of the gross proceeds from the sale of the shares sold through it pursuant to the sales agreement. We also agreed to reimburse Leerink Partners up to $75,000 of Leerink Partners’ actual outside legal expenses incurred by Leerink Partners, which was payable upon execution of the sales agreement, plus certain ongoing outside legal expenses in connection with quarterly and annual diligence bringdowns thereafter. We estimate that the total expenses of the offering payable by us, excluding commissions payable to Leerink Partners under the sales agreement, will be approximately $450,000. The remaining sales proceeds, after deducting any expenses payable by us and any transaction fees imposed by any governmental, regulatory or self-regulatory organization in connection with the sales of our common stock, will equal our net proceeds for the sale of such common stock.</w:t>
      </w:r>
    </w:p>
    <w:p>
      <w:pPr>
        <w:spacing w:after="0" w:line="150" w:lineRule="exact"/>
        <w:rPr>
          <w:sz w:val="20"/>
          <w:szCs w:val="20"/>
          <w:color w:val="auto"/>
        </w:rPr>
      </w:pPr>
    </w:p>
    <w:p>
      <w:pPr>
        <w:ind w:left="860" w:right="919" w:firstLine="331"/>
        <w:spacing w:after="0" w:line="248" w:lineRule="auto"/>
        <w:rPr>
          <w:sz w:val="20"/>
          <w:szCs w:val="20"/>
          <w:color w:val="auto"/>
        </w:rPr>
      </w:pPr>
      <w:r>
        <w:rPr>
          <w:rFonts w:ascii="Times New Roman" w:cs="Times New Roman" w:eastAsia="Times New Roman" w:hAnsi="Times New Roman"/>
          <w:sz w:val="14"/>
          <w:szCs w:val="14"/>
          <w:color w:val="auto"/>
        </w:rPr>
        <w:t>Leerink Partners will provide written confirmation to us following the close of trading on The Nasdaq Capital Market after each day on which common stock is sold through it as sales agent under the sales agreement. Each confirmation will include the number of shares of common stock sold through it as sales agent on that day, the volume-weighted average price of the shares sold, the percentage of the daily trading volume and the net proceeds to us from such sales.</w:t>
      </w:r>
    </w:p>
    <w:p>
      <w:pPr>
        <w:spacing w:after="0" w:line="145" w:lineRule="exact"/>
        <w:rPr>
          <w:sz w:val="20"/>
          <w:szCs w:val="20"/>
          <w:color w:val="auto"/>
        </w:rPr>
      </w:pPr>
    </w:p>
    <w:p>
      <w:pPr>
        <w:ind w:left="860" w:right="899" w:firstLine="331"/>
        <w:spacing w:after="0" w:line="302" w:lineRule="auto"/>
        <w:rPr>
          <w:sz w:val="20"/>
          <w:szCs w:val="20"/>
          <w:color w:val="auto"/>
        </w:rPr>
      </w:pPr>
      <w:r>
        <w:rPr>
          <w:rFonts w:ascii="Times New Roman" w:cs="Times New Roman" w:eastAsia="Times New Roman" w:hAnsi="Times New Roman"/>
          <w:sz w:val="12"/>
          <w:szCs w:val="12"/>
          <w:color w:val="auto"/>
        </w:rPr>
        <w:t>We will report at least quarterly the number of shares of common stock sold through Leerink Partners under the sales agreement and the net proceeds to us in connection with the sales of common stock during the relevant period. Settlement for sales of common stock will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1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In connection with the sale of our common stock on our behalf pursuant to the sales agreement, Leerink Partners will be deemed to be an “underwriter” within the meaning of the Securities Act and the compensation paid to Leerink Partners will be deemed to be an underwriting commission or discount. We have agreed in the sales agreement to provide indemnification and contribution to Leerink Partners with respect to certain liabilities, including liabilities under the Securities Act or the Exchange Act. As sales agent, Leerink Partners will not engage in any transactions that stabilize our common stock.</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and trades under the symbol “XLO.”</w:t>
      </w:r>
    </w:p>
    <w:p>
      <w:pPr>
        <w:spacing w:after="0" w:line="163" w:lineRule="exact"/>
        <w:rPr>
          <w:sz w:val="20"/>
          <w:szCs w:val="20"/>
          <w:color w:val="auto"/>
        </w:rPr>
      </w:pPr>
    </w:p>
    <w:p>
      <w:pPr>
        <w:ind w:left="860" w:right="1319" w:firstLine="331"/>
        <w:spacing w:after="0" w:line="261" w:lineRule="auto"/>
        <w:rPr>
          <w:sz w:val="20"/>
          <w:szCs w:val="20"/>
          <w:color w:val="auto"/>
        </w:rPr>
      </w:pPr>
      <w:r>
        <w:rPr>
          <w:rFonts w:ascii="Times New Roman" w:cs="Times New Roman" w:eastAsia="Times New Roman" w:hAnsi="Times New Roman"/>
          <w:sz w:val="14"/>
          <w:szCs w:val="14"/>
          <w:color w:val="auto"/>
        </w:rPr>
        <w:t>Leerink Partners and/or its affiliates have provided, and may in the future provide, various investment banking and other financial services for us for which services they have received and, may in the future receive, customary fees.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7"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Wilmer Cutler Pickering Hale and Dorr LLP, Boston, Massachusetts. Leerink Partners LLC is being represented in connection with this offering by Cooley LLP, New York, New York.</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7" w:lineRule="exact"/>
        <w:rPr>
          <w:sz w:val="20"/>
          <w:szCs w:val="20"/>
          <w:color w:val="auto"/>
        </w:rPr>
      </w:pPr>
    </w:p>
    <w:p>
      <w:pPr>
        <w:ind w:left="860" w:right="939" w:firstLine="331"/>
        <w:spacing w:after="0" w:line="245" w:lineRule="auto"/>
        <w:rPr>
          <w:sz w:val="20"/>
          <w:szCs w:val="20"/>
          <w:color w:val="auto"/>
        </w:rPr>
      </w:pPr>
      <w:r>
        <w:rPr>
          <w:rFonts w:ascii="Times New Roman" w:cs="Times New Roman" w:eastAsia="Times New Roman" w:hAnsi="Times New Roman"/>
          <w:sz w:val="14"/>
          <w:szCs w:val="14"/>
          <w:color w:val="auto"/>
        </w:rPr>
        <w:t>The consolidated financial statements of Xilio Therapeutics, Inc. appearing in Xilio Therapeutics, Inc.’s Annual Report (Form 10-K) for the year ended December 31, 2025,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7" w:lineRule="exact"/>
        <w:rPr>
          <w:sz w:val="20"/>
          <w:szCs w:val="20"/>
          <w:color w:val="auto"/>
        </w:rPr>
      </w:pPr>
    </w:p>
    <w:p>
      <w:pPr>
        <w:ind w:left="860" w:right="879" w:firstLine="331"/>
        <w:spacing w:after="0" w:line="294"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20" w:lineRule="exact"/>
        <w:rPr>
          <w:sz w:val="20"/>
          <w:szCs w:val="20"/>
          <w:color w:val="auto"/>
        </w:rPr>
      </w:pPr>
    </w:p>
    <w:p>
      <w:pPr>
        <w:jc w:val="both"/>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67"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This prospectus incorporates by reference the documents set forth below that have previously been filed with the SEC:</w:t>
      </w:r>
    </w:p>
    <w:p>
      <w:pPr>
        <w:spacing w:after="0" w:line="82" w:lineRule="exact"/>
        <w:rPr>
          <w:sz w:val="20"/>
          <w:szCs w:val="20"/>
          <w:color w:val="auto"/>
        </w:rPr>
      </w:pPr>
    </w:p>
    <w:p>
      <w:pPr>
        <w:ind w:left="1440" w:hanging="252"/>
        <w:spacing w:after="0"/>
        <w:tabs>
          <w:tab w:leader="none" w:pos="14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Annual Report on </w:t>
      </w:r>
      <w:hyperlink r:id="rId29">
        <w:r>
          <w:rPr>
            <w:rFonts w:ascii="Times New Roman" w:cs="Times New Roman" w:eastAsia="Times New Roman" w:hAnsi="Times New Roman"/>
            <w:sz w:val="12"/>
            <w:szCs w:val="12"/>
            <w:u w:val="single" w:color="auto"/>
            <w:color w:val="0000FF"/>
          </w:rPr>
          <w:t>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year ended December 31, 2025, as filed with the SEC on March 23, 2026;</w:t>
      </w:r>
    </w:p>
    <w:p>
      <w:pPr>
        <w:spacing w:after="0" w:line="105" w:lineRule="exact"/>
        <w:rPr>
          <w:rFonts w:ascii="Times New Roman" w:cs="Times New Roman" w:eastAsia="Times New Roman" w:hAnsi="Times New Roman"/>
          <w:sz w:val="12"/>
          <w:szCs w:val="12"/>
          <w:color w:val="auto"/>
        </w:rPr>
      </w:pPr>
    </w:p>
    <w:p>
      <w:pPr>
        <w:jc w:val="both"/>
        <w:ind w:left="1440" w:right="919" w:hanging="252"/>
        <w:spacing w:after="0" w:line="251" w:lineRule="auto"/>
        <w:tabs>
          <w:tab w:leader="none" w:pos="1440" w:val="left"/>
        </w:tabs>
        <w:numPr>
          <w:ilvl w:val="0"/>
          <w:numId w:val="42"/>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The information included in our definitive proxy statement on Schedule 14A for the 2026 Annual Meeting of Stockholders, </w:t>
      </w:r>
      <w:hyperlink r:id="rId29">
        <w:r>
          <w:rPr>
            <w:rFonts w:ascii="Times New Roman" w:cs="Times New Roman" w:eastAsia="Times New Roman" w:hAnsi="Times New Roman"/>
            <w:sz w:val="14"/>
            <w:szCs w:val="14"/>
            <w:color w:val="auto"/>
          </w:rPr>
          <w:t xml:space="preserve">as filed with the SEC on </w:t>
        </w:r>
        <w:r>
          <w:rPr>
            <w:rFonts w:ascii="Times New Roman" w:cs="Times New Roman" w:eastAsia="Times New Roman" w:hAnsi="Times New Roman"/>
            <w:sz w:val="14"/>
            <w:szCs w:val="14"/>
            <w:u w:val="single" w:color="auto"/>
            <w:color w:val="0000FF"/>
          </w:rPr>
          <w:t>April 28, 2026</w:t>
        </w:r>
        <w:r>
          <w:rPr>
            <w:rFonts w:ascii="Times New Roman" w:cs="Times New Roman" w:eastAsia="Times New Roman" w:hAnsi="Times New Roman"/>
            <w:sz w:val="14"/>
            <w:szCs w:val="14"/>
            <w:color w:val="auto"/>
          </w:rPr>
          <w:t xml:space="preserve">, to the extent incorporated by reference into Part III of our Annual Report on </w:t>
        </w:r>
        <w:r>
          <w:rPr>
            <w:rFonts w:ascii="Times New Roman" w:cs="Times New Roman" w:eastAsia="Times New Roman" w:hAnsi="Times New Roman"/>
            <w:sz w:val="14"/>
            <w:szCs w:val="14"/>
            <w:u w:val="single" w:color="auto"/>
            <w:color w:val="0000FF"/>
          </w:rPr>
          <w:t>Form</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FF"/>
          </w:rPr>
          <w:t>10-K</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the fiscal year ended on December 31, 2025;</w:t>
        </w:r>
      </w:hyperlink>
    </w:p>
    <w:p>
      <w:pPr>
        <w:spacing w:after="0" w:line="62" w:lineRule="exact"/>
        <w:rPr>
          <w:rFonts w:ascii="Times New Roman" w:cs="Times New Roman" w:eastAsia="Times New Roman" w:hAnsi="Times New Roman"/>
          <w:sz w:val="14"/>
          <w:szCs w:val="14"/>
          <w:color w:val="0000FF"/>
        </w:rPr>
      </w:pPr>
    </w:p>
    <w:p>
      <w:pPr>
        <w:ind w:left="1440" w:hanging="252"/>
        <w:spacing w:after="0"/>
        <w:tabs>
          <w:tab w:leader="none" w:pos="14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Quarterly Report on </w:t>
      </w:r>
      <w:hyperlink r:id="rId30">
        <w:r>
          <w:rPr>
            <w:rFonts w:ascii="Times New Roman" w:cs="Times New Roman" w:eastAsia="Times New Roman" w:hAnsi="Times New Roman"/>
            <w:sz w:val="12"/>
            <w:szCs w:val="12"/>
            <w:u w:val="single" w:color="auto"/>
            <w:color w:val="0000FF"/>
          </w:rPr>
          <w:t>Form 10-Q</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quarter ended March 31, 2026, as filed with the SEC on May 12, 2026;</w:t>
      </w:r>
    </w:p>
    <w:p>
      <w:pPr>
        <w:spacing w:after="0" w:line="105" w:lineRule="exact"/>
        <w:rPr>
          <w:rFonts w:ascii="Times New Roman" w:cs="Times New Roman" w:eastAsia="Times New Roman" w:hAnsi="Times New Roman"/>
          <w:sz w:val="12"/>
          <w:szCs w:val="12"/>
          <w:color w:val="auto"/>
        </w:rPr>
      </w:pPr>
    </w:p>
    <w:p>
      <w:pPr>
        <w:ind w:left="1440" w:right="919" w:hanging="252"/>
        <w:spacing w:after="0" w:line="261" w:lineRule="auto"/>
        <w:tabs>
          <w:tab w:leader="none" w:pos="1440" w:val="left"/>
        </w:tabs>
        <w:numPr>
          <w:ilvl w:val="0"/>
          <w:numId w:val="42"/>
        </w:numPr>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auto"/>
          </w:rPr>
          <w:t xml:space="preserve">Our Current Reports on Form 8-K, as filed with the SEC on </w:t>
        </w:r>
        <w:r>
          <w:rPr>
            <w:rFonts w:ascii="Times New Roman" w:cs="Times New Roman" w:eastAsia="Times New Roman" w:hAnsi="Times New Roman"/>
            <w:sz w:val="14"/>
            <w:szCs w:val="14"/>
            <w:u w:val="single" w:color="auto"/>
            <w:color w:val="0000FF"/>
          </w:rPr>
          <w:t>January 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March</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FF"/>
          </w:rPr>
          <w:t>12, 2026</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FF"/>
          </w:rPr>
          <w:t xml:space="preserve"> </w:t>
        </w:r>
      </w:hyperlink>
      <w:hyperlink r:id="rId32">
        <w:r>
          <w:rPr>
            <w:rFonts w:ascii="Times New Roman" w:cs="Times New Roman" w:eastAsia="Times New Roman" w:hAnsi="Times New Roman"/>
            <w:sz w:val="14"/>
            <w:szCs w:val="14"/>
            <w:u w:val="single" w:color="auto"/>
            <w:color w:val="0000FF"/>
          </w:rPr>
          <w:t>April 16, 2026</w:t>
        </w:r>
      </w:hyperlink>
      <w:hyperlink r:id="rId31">
        <w:r>
          <w:rPr>
            <w:rFonts w:ascii="Times New Roman" w:cs="Times New Roman" w:eastAsia="Times New Roman" w:hAnsi="Times New Roman"/>
            <w:sz w:val="14"/>
            <w:szCs w:val="14"/>
            <w:color w:val="000000"/>
          </w:rPr>
          <w:t>; and</w:t>
        </w:r>
      </w:hyperlink>
    </w:p>
    <w:p>
      <w:pPr>
        <w:spacing w:after="0" w:line="55" w:lineRule="exact"/>
        <w:rPr>
          <w:rFonts w:ascii="Times New Roman" w:cs="Times New Roman" w:eastAsia="Times New Roman" w:hAnsi="Times New Roman"/>
          <w:sz w:val="14"/>
          <w:szCs w:val="14"/>
          <w:color w:val="0000FF"/>
        </w:rPr>
      </w:pPr>
    </w:p>
    <w:p>
      <w:pPr>
        <w:ind w:left="1440" w:right="939" w:hanging="252"/>
        <w:spacing w:after="0" w:line="302" w:lineRule="auto"/>
        <w:tabs>
          <w:tab w:leader="none" w:pos="14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description of our common stock contained in our Registration Statement on </w:t>
      </w:r>
      <w:hyperlink r:id="rId33">
        <w:r>
          <w:rPr>
            <w:rFonts w:ascii="Times New Roman" w:cs="Times New Roman" w:eastAsia="Times New Roman" w:hAnsi="Times New Roman"/>
            <w:sz w:val="12"/>
            <w:szCs w:val="12"/>
            <w:u w:val="single" w:color="auto"/>
            <w:color w:val="0000FF"/>
          </w:rPr>
          <w:t>Form 8-A</w:t>
        </w:r>
      </w:hyperlink>
      <w:r>
        <w:rPr>
          <w:rFonts w:ascii="Times New Roman" w:cs="Times New Roman" w:eastAsia="Times New Roman" w:hAnsi="Times New Roman"/>
          <w:sz w:val="12"/>
          <w:szCs w:val="12"/>
          <w:color w:val="auto"/>
        </w:rPr>
        <w:t xml:space="preserve">, as filed with the SEC on October 18, 2021, as the description therein has been updated and superseded by the description of our capital stock contained in </w:t>
      </w:r>
      <w:hyperlink r:id="rId34">
        <w:r>
          <w:rPr>
            <w:rFonts w:ascii="Times New Roman" w:cs="Times New Roman" w:eastAsia="Times New Roman" w:hAnsi="Times New Roman"/>
            <w:sz w:val="12"/>
            <w:szCs w:val="12"/>
            <w:u w:val="single" w:color="auto"/>
            <w:color w:val="0000EE"/>
          </w:rPr>
          <w:t>Exhibit 4.4</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to our Annual Report on </w:t>
      </w:r>
      <w:hyperlink r:id="rId29">
        <w:r>
          <w:rPr>
            <w:rFonts w:ascii="Times New Roman" w:cs="Times New Roman" w:eastAsia="Times New Roman" w:hAnsi="Times New Roman"/>
            <w:sz w:val="12"/>
            <w:szCs w:val="12"/>
            <w:u w:val="single" w:color="auto"/>
            <w:color w:val="0000FF"/>
          </w:rPr>
          <w:t>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year ended December 31, 2025, as filed with the SEC on March 23, 2026, and including any amendments or reports filed for the purpose of updating such description.</w:t>
      </w:r>
    </w:p>
    <w:p>
      <w:pPr>
        <w:spacing w:after="0" w:line="116" w:lineRule="exact"/>
        <w:rPr>
          <w:rFonts w:ascii="Times New Roman" w:cs="Times New Roman" w:eastAsia="Times New Roman" w:hAnsi="Times New Roman"/>
          <w:sz w:val="12"/>
          <w:szCs w:val="12"/>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48" w:lineRule="exact"/>
        <w:rPr>
          <w:rFonts w:ascii="Times New Roman" w:cs="Times New Roman" w:eastAsia="Times New Roman" w:hAnsi="Times New Roman"/>
          <w:sz w:val="12"/>
          <w:szCs w:val="12"/>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SA-15</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52" w:name="page53"/>
    <w:bookmarkEnd w:id="52"/>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828 Winter Street, Suite 300</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Waltham, Massachusetts 02451</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Phone: (857) 524-2466</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E-mail: investors@xiliotx.com</w:t>
      </w:r>
    </w:p>
    <w:p>
      <w:pPr>
        <w:spacing w:after="0" w:line="151" w:lineRule="exact"/>
        <w:rPr>
          <w:sz w:val="20"/>
          <w:szCs w:val="20"/>
          <w:color w:val="auto"/>
        </w:rPr>
      </w:pPr>
    </w:p>
    <w:p>
      <w:pPr>
        <w:ind w:left="860" w:right="1059" w:firstLine="331"/>
        <w:spacing w:after="0" w:line="261"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37"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1458595</wp:posOffset>
            </wp:positionH>
            <wp:positionV relativeFrom="page">
              <wp:posOffset>751205</wp:posOffset>
            </wp:positionV>
            <wp:extent cx="463169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4631690" cy="12700"/>
                    </a:xfrm>
                    <a:prstGeom prst="rect">
                      <a:avLst/>
                    </a:prstGeom>
                    <a:noFill/>
                  </pic:spPr>
                </pic:pic>
              </a:graphicData>
            </a:graphic>
          </wp:anchor>
        </w:drawing>
        <w:drawing>
          <wp:anchor simplePos="0" relativeHeight="251657728" behindDoc="1" locked="0" layoutInCell="0" allowOverlap="1">
            <wp:simplePos x="0" y="0"/>
            <wp:positionH relativeFrom="page">
              <wp:posOffset>1458595</wp:posOffset>
            </wp:positionH>
            <wp:positionV relativeFrom="page">
              <wp:posOffset>880110</wp:posOffset>
            </wp:positionV>
            <wp:extent cx="463169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1124585</wp:posOffset>
            </wp:positionV>
            <wp:extent cx="1299210" cy="662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29921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Up to $14,500,000</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354330</wp:posOffset>
            </wp:positionV>
            <wp:extent cx="463169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245110</wp:posOffset>
            </wp:positionV>
            <wp:extent cx="463169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385445</wp:posOffset>
            </wp:positionV>
            <wp:extent cx="463169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2037715</wp:posOffset>
            </wp:positionV>
            <wp:extent cx="528764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429260</wp:posOffset>
            </wp:positionV>
            <wp:extent cx="463169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551815</wp:posOffset>
            </wp:positionV>
            <wp:extent cx="4631690"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4631690" cy="127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86" w:lineRule="exact"/>
        <w:rPr>
          <w:sz w:val="20"/>
          <w:szCs w:val="20"/>
          <w:color w:val="auto"/>
        </w:rPr>
      </w:pPr>
    </w:p>
    <w:p>
      <w:pPr>
        <w:jc w:val="both"/>
        <w:ind w:left="860" w:right="1079" w:firstLine="331"/>
        <w:spacing w:after="0" w:line="251" w:lineRule="auto"/>
        <w:rPr>
          <w:sz w:val="20"/>
          <w:szCs w:val="20"/>
          <w:color w:val="auto"/>
        </w:rPr>
      </w:pPr>
      <w:r>
        <w:rPr>
          <w:rFonts w:ascii="Times New Roman" w:cs="Times New Roman" w:eastAsia="Times New Roman" w:hAnsi="Times New Roman"/>
          <w:sz w:val="14"/>
          <w:szCs w:val="14"/>
          <w:color w:val="auto"/>
        </w:rPr>
        <w:t>Set forth below are estimates (except in the case of the SEC registration fee and FINRA filing fee) of the amount of fees and expenses to be incurred in connection with the issuance and distribution of the offered securities, other than underwriting discounts and commissions.</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33,783</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38,000</w:t>
            </w:r>
          </w:p>
        </w:tc>
        <w:tc>
          <w:tcPr>
            <w:tcW w:w="0" w:type="dxa"/>
            <w:vAlign w:val="bottom"/>
          </w:tcPr>
          <w:p>
            <w:pPr>
              <w:spacing w:after="0"/>
              <w:rPr>
                <w:sz w:val="1"/>
                <w:szCs w:val="1"/>
                <w:color w:val="auto"/>
              </w:rPr>
            </w:pPr>
          </w:p>
        </w:tc>
      </w:t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Printing and engraving</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Accounting services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fees of registrant’s counsel</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agent’s, trustee’s and depositary’s fees and expenses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3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100" w:right="1279" w:hanging="243"/>
        <w:spacing w:after="0" w:line="261"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are calculated based on the securities offered and the number of issuances and accordingly are not estimated at this time and will be reflected in the applicable prospectus supplement.</w:t>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color w:val="auto"/>
        </w:rPr>
        <w:t>The following summary is qualified in its entirety by reference to the complete Delaware General Corporation Law (“DGCL”)</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and our restated certificate of incorporation and second amended and restated bylaws.</w:t>
      </w:r>
    </w:p>
    <w:p>
      <w:pPr>
        <w:spacing w:after="0" w:line="151" w:lineRule="exact"/>
        <w:rPr>
          <w:sz w:val="20"/>
          <w:szCs w:val="20"/>
          <w:color w:val="auto"/>
        </w:rPr>
      </w:pPr>
    </w:p>
    <w:p>
      <w:pPr>
        <w:ind w:left="860" w:right="859" w:firstLine="331"/>
        <w:spacing w:after="0" w:line="243" w:lineRule="auto"/>
        <w:rPr>
          <w:sz w:val="20"/>
          <w:szCs w:val="20"/>
          <w:color w:val="auto"/>
        </w:rPr>
      </w:pPr>
      <w:r>
        <w:rPr>
          <w:rFonts w:ascii="Times New Roman" w:cs="Times New Roman" w:eastAsia="Times New Roman" w:hAnsi="Times New Roman"/>
          <w:sz w:val="14"/>
          <w:szCs w:val="14"/>
          <w:color w:val="auto"/>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such person acted in good faith and in a manner he or she reasonably believed to be in or not opposed to the best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interests of the corporation, and, in the case of claims, issues and matters as to which such person shall have been adjudged liable to the corporation,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50" w:lineRule="exact"/>
        <w:rPr>
          <w:sz w:val="20"/>
          <w:szCs w:val="20"/>
          <w:color w:val="auto"/>
        </w:rPr>
      </w:pPr>
    </w:p>
    <w:p>
      <w:pPr>
        <w:ind w:left="860" w:right="879" w:firstLine="331"/>
        <w:spacing w:after="0" w:line="243" w:lineRule="auto"/>
        <w:rPr>
          <w:sz w:val="20"/>
          <w:szCs w:val="20"/>
          <w:color w:val="auto"/>
        </w:rPr>
      </w:pPr>
      <w:r>
        <w:rPr>
          <w:rFonts w:ascii="Times New Roman" w:cs="Times New Roman" w:eastAsia="Times New Roman" w:hAnsi="Times New Roman"/>
          <w:sz w:val="14"/>
          <w:szCs w:val="14"/>
          <w:color w:val="auto"/>
        </w:rPr>
        <w:t xml:space="preserve">Section 102(b)(7) of the DGCL provides, generally, that our restated certificate of incorporation may contain a provision eliminating or limiting the personal liability of a director or officer to the corporation or its shareholders for monetary damages for breach of fiduciary duty as a director,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provision may not eliminate or limit the liability of (i) a director or officer for any breach of the director’s or officer’s duty of loyalty to the corporation or its shareholders,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Our restated certificate of incorporation provides, to the fullest extent permitted by the DGCL, no director or officer will be personally liable to us (in the case of directors) or our stockholders (in the case of directors and officers) for monetary damages for any breach of fiduciary duty as a director or officer.</w:t>
      </w:r>
    </w:p>
    <w:p>
      <w:pPr>
        <w:spacing w:after="0" w:line="152" w:lineRule="exact"/>
        <w:rPr>
          <w:sz w:val="20"/>
          <w:szCs w:val="20"/>
          <w:color w:val="auto"/>
        </w:rPr>
      </w:pPr>
    </w:p>
    <w:p>
      <w:pPr>
        <w:ind w:left="860" w:right="879" w:firstLine="331"/>
        <w:spacing w:after="0" w:line="294" w:lineRule="auto"/>
        <w:rPr>
          <w:sz w:val="20"/>
          <w:szCs w:val="20"/>
          <w:color w:val="auto"/>
        </w:rPr>
      </w:pPr>
      <w:r>
        <w:rPr>
          <w:rFonts w:ascii="Times New Roman" w:cs="Times New Roman" w:eastAsia="Times New Roman" w:hAnsi="Times New Roman"/>
          <w:sz w:val="12"/>
          <w:szCs w:val="12"/>
          <w:color w:val="auto"/>
        </w:rPr>
        <w:t>Our restated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5" w:name="page56"/>
    <w:bookmarkEnd w:id="55"/>
    <w:p>
      <w:pPr>
        <w:ind w:left="860" w:right="919"/>
        <w:spacing w:after="0" w:line="246" w:lineRule="auto"/>
        <w:rPr>
          <w:sz w:val="20"/>
          <w:szCs w:val="20"/>
          <w:color w:val="auto"/>
        </w:rPr>
      </w:pPr>
      <w:r>
        <w:rPr>
          <w:rFonts w:ascii="Times New Roman" w:cs="Times New Roman" w:eastAsia="Times New Roman" w:hAnsi="Times New Roman"/>
          <w:sz w:val="14"/>
          <w:szCs w:val="14"/>
          <w:color w:val="auto"/>
        </w:rPr>
        <w:t>attorneys’ fees), liabilities, losses, judgments, fines (including excise taxes and penalties arising under the Employee Retirement Income Security Act of 1974)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48" w:lineRule="exact"/>
        <w:rPr>
          <w:sz w:val="20"/>
          <w:szCs w:val="20"/>
          <w:color w:val="auto"/>
        </w:rPr>
      </w:pPr>
    </w:p>
    <w:p>
      <w:pPr>
        <w:ind w:left="860" w:right="879" w:firstLine="331"/>
        <w:spacing w:after="0" w:line="286" w:lineRule="auto"/>
        <w:rPr>
          <w:sz w:val="20"/>
          <w:szCs w:val="20"/>
          <w:color w:val="auto"/>
        </w:rPr>
      </w:pPr>
      <w:r>
        <w:rPr>
          <w:rFonts w:ascii="Times New Roman" w:cs="Times New Roman" w:eastAsia="Times New Roman" w:hAnsi="Times New Roman"/>
          <w:sz w:val="12"/>
          <w:szCs w:val="12"/>
          <w:color w:val="auto"/>
        </w:rPr>
        <w:t>Our restated certificate of incorporation also provides that we will indemnify any Indemnitee who was or is a party or threatened to be made a party to any threatened, pending or completed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and only to the extent that the Court of Chancery of Delaware or the court in which such action or suit was brought determines that, despite such adjudication but in view of all of the circumstances, he or she is fairly and reasonably entitled to indemnification of such expenses (including attorney’s fees).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200" w:lineRule="exact"/>
        <w:rPr>
          <w:sz w:val="20"/>
          <w:szCs w:val="20"/>
          <w:color w:val="auto"/>
        </w:rPr>
      </w:pPr>
    </w:p>
    <w:p>
      <w:pPr>
        <w:spacing w:after="0" w:line="256"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all of our directors and executive officers. In general, these agreements provide that we will indemnify the directors or executive officers to the fullest extent permitted by law for claims arising in his or her capacity as a director or executive officer of our company or in connection with his or her service at our request for another corporation or entity. The indemnification agreements also provide for procedures that will apply in the event that a director or executive officer makes a claim for indemnification and establish certain presumptions that are favorable to the executive officer or director.</w:t>
      </w:r>
    </w:p>
    <w:p>
      <w:pPr>
        <w:spacing w:after="0" w:line="149" w:lineRule="exact"/>
        <w:rPr>
          <w:sz w:val="20"/>
          <w:szCs w:val="20"/>
          <w:color w:val="auto"/>
        </w:rPr>
      </w:pPr>
    </w:p>
    <w:p>
      <w:pPr>
        <w:ind w:left="860" w:right="999" w:firstLine="331"/>
        <w:spacing w:after="0" w:line="261" w:lineRule="auto"/>
        <w:rPr>
          <w:sz w:val="20"/>
          <w:szCs w:val="20"/>
          <w:color w:val="auto"/>
        </w:rPr>
      </w:pPr>
      <w:r>
        <w:rPr>
          <w:rFonts w:ascii="Times New Roman" w:cs="Times New Roman" w:eastAsia="Times New Roman" w:hAnsi="Times New Roman"/>
          <w:sz w:val="14"/>
          <w:szCs w:val="14"/>
          <w:color w:val="auto"/>
        </w:rPr>
        <w:t>We maintain a general liability insurance policy that covers certain liabilities of our directors and officers arising out of claims based on acts or omissions in their capacities as directors or officers.</w:t>
      </w:r>
    </w:p>
    <w:p>
      <w:pPr>
        <w:spacing w:after="0" w:line="136"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The underwriting agreement we entered into in connection with the initial public offering of our common stock provides that the underwriters will indemnify, under certain conditions, us, our directors and officers (as well as certain other persons) against certain liabilities arising in connection with such offering.</w:t>
      </w:r>
    </w:p>
    <w:p>
      <w:pPr>
        <w:spacing w:after="0" w:line="143" w:lineRule="exact"/>
        <w:rPr>
          <w:sz w:val="20"/>
          <w:szCs w:val="20"/>
          <w:color w:val="auto"/>
        </w:rPr>
      </w:pPr>
    </w:p>
    <w:p>
      <w:pPr>
        <w:ind w:left="860" w:right="999" w:firstLine="331"/>
        <w:spacing w:after="0" w:line="251" w:lineRule="auto"/>
        <w:rPr>
          <w:sz w:val="20"/>
          <w:szCs w:val="20"/>
          <w:color w:val="auto"/>
        </w:rPr>
      </w:pPr>
      <w:r>
        <w:rPr>
          <w:rFonts w:ascii="Times New Roman" w:cs="Times New Roman" w:eastAsia="Times New Roman" w:hAnsi="Times New Roman"/>
          <w:sz w:val="14"/>
          <w:szCs w:val="14"/>
          <w:color w:val="auto"/>
        </w:rPr>
        <w:t>In any underwriting agreement we enter into in connection with the sale of securities being registered hereby, the underwriters may agree to indemnify, under certain conditions, us, our directors and officers (as well as certain other persons) against certain liabilities arising in connection with such offering.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56" w:name="page57"/>
    <w:bookmarkEnd w:id="56"/>
    <w:p>
      <w:pPr>
        <w:ind w:left="86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60" w:type="dxa"/>
            <w:vAlign w:val="bottom"/>
            <w:gridSpan w:val="11"/>
          </w:tcPr>
          <w:p>
            <w:pPr>
              <w:ind w:left="9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75"/>
        </w:trPr>
        <w:tc>
          <w:tcPr>
            <w:tcW w:w="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23"/>
                <w:szCs w:val="23"/>
                <w:color w:val="auto"/>
              </w:rPr>
            </w:pPr>
          </w:p>
        </w:tc>
        <w:tc>
          <w:tcPr>
            <w:tcW w:w="6760" w:type="dxa"/>
            <w:vAlign w:val="bottom"/>
            <w:gridSpan w:val="16"/>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80" w:type="dxa"/>
            <w:vAlign w:val="bottom"/>
          </w:tcPr>
          <w:p>
            <w:pPr>
              <w:spacing w:after="0"/>
              <w:rPr>
                <w:sz w:val="11"/>
                <w:szCs w:val="11"/>
                <w:color w:val="auto"/>
              </w:rPr>
            </w:pPr>
          </w:p>
        </w:tc>
        <w:tc>
          <w:tcPr>
            <w:tcW w:w="6760" w:type="dxa"/>
            <w:vAlign w:val="bottom"/>
            <w:tcBorders>
              <w:bottom w:val="single" w:sz="8" w:color="auto"/>
            </w:tcBorders>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21"/>
                <w:szCs w:val="21"/>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9"/>
                <w:szCs w:val="19"/>
                <w:color w:val="auto"/>
              </w:rPr>
            </w:pPr>
          </w:p>
        </w:tc>
        <w:tc>
          <w:tcPr>
            <w:tcW w:w="6580" w:type="dxa"/>
            <w:vAlign w:val="bottom"/>
            <w:tcBorders>
              <w:bottom w:val="single" w:sz="8" w:color="0000EE"/>
            </w:tcBorders>
            <w:gridSpan w:val="15"/>
          </w:tcPr>
          <w:p>
            <w:pPr>
              <w:spacing w:after="0"/>
              <w:rPr>
                <w:rFonts w:ascii="Times New Roman" w:cs="Times New Roman" w:eastAsia="Times New Roman" w:hAnsi="Times New Roman"/>
                <w:sz w:val="14"/>
                <w:szCs w:val="14"/>
                <w:color w:val="0000FF"/>
                <w:w w:val="96"/>
              </w:rPr>
            </w:pPr>
            <w:hyperlink r:id="rId111">
              <w:r>
                <w:rPr>
                  <w:rFonts w:ascii="Times New Roman" w:cs="Times New Roman" w:eastAsia="Times New Roman" w:hAnsi="Times New Roman"/>
                  <w:sz w:val="14"/>
                  <w:szCs w:val="14"/>
                  <w:color w:val="0000FF"/>
                  <w:w w:val="96"/>
                </w:rPr>
                <w:t>Sales Agreement, dated as of March 11, 2025, by and between the Registrant and Leerink Partners LLC (incorporated by</w:t>
              </w:r>
            </w:hyperlink>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80" w:type="dxa"/>
            <w:vAlign w:val="bottom"/>
            <w:tcBorders>
              <w:bottom w:val="single" w:sz="8" w:color="0000EE"/>
            </w:tcBorders>
            <w:gridSpan w:val="11"/>
          </w:tcPr>
          <w:p>
            <w:pPr>
              <w:spacing w:after="0" w:line="142" w:lineRule="exact"/>
              <w:rPr>
                <w:rFonts w:ascii="Times New Roman" w:cs="Times New Roman" w:eastAsia="Times New Roman" w:hAnsi="Times New Roman"/>
                <w:sz w:val="14"/>
                <w:szCs w:val="14"/>
                <w:color w:val="0000FF"/>
                <w:w w:val="96"/>
              </w:rPr>
            </w:pPr>
            <w:hyperlink r:id="rId111">
              <w:r>
                <w:rPr>
                  <w:rFonts w:ascii="Times New Roman" w:cs="Times New Roman" w:eastAsia="Times New Roman" w:hAnsi="Times New Roman"/>
                  <w:sz w:val="14"/>
                  <w:szCs w:val="14"/>
                  <w:color w:val="0000FF"/>
                  <w:w w:val="96"/>
                </w:rPr>
                <w:t>reference to Exhibit 1.1 to the Registrant’s Current Report on Form 8-K, filed with the Securities and Exchange</w:t>
              </w:r>
            </w:hyperlink>
          </w:p>
        </w:tc>
        <w:tc>
          <w:tcPr>
            <w:tcW w:w="6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Borders>
              <w:bottom w:val="single" w:sz="8" w:color="0000EE"/>
            </w:tcBorders>
            <w:gridSpan w:val="5"/>
          </w:tcPr>
          <w:p>
            <w:pPr>
              <w:spacing w:after="0" w:line="142" w:lineRule="exact"/>
              <w:rPr>
                <w:rFonts w:ascii="Times New Roman" w:cs="Times New Roman" w:eastAsia="Times New Roman" w:hAnsi="Times New Roman"/>
                <w:sz w:val="14"/>
                <w:szCs w:val="14"/>
                <w:color w:val="0000FF"/>
                <w:w w:val="95"/>
              </w:rPr>
            </w:pPr>
            <w:hyperlink r:id="rId111">
              <w:r>
                <w:rPr>
                  <w:rFonts w:ascii="Times New Roman" w:cs="Times New Roman" w:eastAsia="Times New Roman" w:hAnsi="Times New Roman"/>
                  <w:sz w:val="14"/>
                  <w:szCs w:val="14"/>
                  <w:color w:val="0000FF"/>
                  <w:w w:val="95"/>
                </w:rPr>
                <w:t>Commission on March 11, 2025)</w:t>
              </w:r>
            </w:hyperlink>
          </w:p>
        </w:tc>
        <w:tc>
          <w:tcPr>
            <w:tcW w:w="49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20"/>
                <w:szCs w:val="20"/>
                <w:color w:val="auto"/>
              </w:rPr>
            </w:pPr>
          </w:p>
        </w:tc>
        <w:tc>
          <w:tcPr>
            <w:tcW w:w="624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w w:val="96"/>
              </w:rPr>
            </w:pPr>
            <w:hyperlink r:id="rId112">
              <w:r>
                <w:rPr>
                  <w:rFonts w:ascii="Times New Roman" w:cs="Times New Roman" w:eastAsia="Times New Roman" w:hAnsi="Times New Roman"/>
                  <w:sz w:val="14"/>
                  <w:szCs w:val="14"/>
                  <w:color w:val="0000FF"/>
                  <w:w w:val="96"/>
                </w:rPr>
                <w:t>Restated Certificate of Incorporation of the Registrant, as amended (incorporated by reference to Exhibit 3.1 to the</w:t>
              </w:r>
            </w:hyperlink>
          </w:p>
        </w:tc>
        <w:tc>
          <w:tcPr>
            <w:tcW w:w="5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760" w:type="dxa"/>
            <w:vAlign w:val="bottom"/>
            <w:gridSpan w:val="16"/>
          </w:tcPr>
          <w:p>
            <w:pPr>
              <w:spacing w:after="0" w:line="142"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Registrant’s Annual Report on Form 10-K, filed with the Securities and Exchange Commission on March 23, 2026)</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20"/>
                <w:szCs w:val="20"/>
                <w:color w:val="auto"/>
              </w:rPr>
            </w:pPr>
          </w:p>
        </w:tc>
        <w:tc>
          <w:tcPr>
            <w:tcW w:w="6360" w:type="dxa"/>
            <w:vAlign w:val="bottom"/>
            <w:tcBorders>
              <w:bottom w:val="single" w:sz="8" w:color="0000EE"/>
            </w:tcBorders>
            <w:gridSpan w:val="14"/>
          </w:tcPr>
          <w:p>
            <w:pPr>
              <w:spacing w:after="0"/>
              <w:rPr>
                <w:rFonts w:ascii="Times New Roman" w:cs="Times New Roman" w:eastAsia="Times New Roman" w:hAnsi="Times New Roman"/>
                <w:sz w:val="14"/>
                <w:szCs w:val="14"/>
                <w:color w:val="0000FF"/>
                <w:w w:val="96"/>
              </w:rPr>
            </w:pPr>
            <w:hyperlink r:id="rId113">
              <w:r>
                <w:rPr>
                  <w:rFonts w:ascii="Times New Roman" w:cs="Times New Roman" w:eastAsia="Times New Roman" w:hAnsi="Times New Roman"/>
                  <w:sz w:val="14"/>
                  <w:szCs w:val="14"/>
                  <w:color w:val="0000FF"/>
                  <w:w w:val="96"/>
                </w:rPr>
                <w:t>Second Amended and Restated Bylaws of the Registrant (incorporated by reference to Exhibit 3.1 to the Registrant’s</w:t>
              </w:r>
            </w:hyperlink>
          </w:p>
        </w:tc>
        <w:tc>
          <w:tcPr>
            <w:tcW w:w="4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0" w:type="dxa"/>
            <w:vAlign w:val="bottom"/>
            <w:tcBorders>
              <w:bottom w:val="single" w:sz="8" w:color="0000EE"/>
            </w:tcBorders>
            <w:gridSpan w:val="10"/>
          </w:tcPr>
          <w:p>
            <w:pPr>
              <w:spacing w:after="0" w:line="142" w:lineRule="exact"/>
              <w:rPr>
                <w:rFonts w:ascii="Times New Roman" w:cs="Times New Roman" w:eastAsia="Times New Roman" w:hAnsi="Times New Roman"/>
                <w:sz w:val="14"/>
                <w:szCs w:val="14"/>
                <w:color w:val="0000FF"/>
                <w:w w:val="96"/>
              </w:rPr>
            </w:pPr>
            <w:hyperlink r:id="rId113">
              <w:r>
                <w:rPr>
                  <w:rFonts w:ascii="Times New Roman" w:cs="Times New Roman" w:eastAsia="Times New Roman" w:hAnsi="Times New Roman"/>
                  <w:sz w:val="14"/>
                  <w:szCs w:val="14"/>
                  <w:color w:val="0000FF"/>
                  <w:w w:val="96"/>
                </w:rPr>
                <w:t>Current Report on Form 8-K, filed with the Securities and Exchange Commission on April 3, 2023)</w:t>
              </w:r>
            </w:hyperlink>
          </w:p>
        </w:tc>
        <w:tc>
          <w:tcPr>
            <w:tcW w:w="13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Form of Senior Indenture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Form of Subordinated Indenture</w:t>
            </w: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20"/>
                <w:szCs w:val="20"/>
                <w:color w:val="auto"/>
              </w:rPr>
            </w:pPr>
          </w:p>
        </w:tc>
        <w:tc>
          <w:tcPr>
            <w:tcW w:w="17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FF"/>
              </w:rPr>
              <w:t>Form of Senior Note</w:t>
            </w:r>
          </w:p>
        </w:tc>
        <w:tc>
          <w:tcPr>
            <w:tcW w:w="50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20"/>
                <w:szCs w:val="20"/>
                <w:color w:val="auto"/>
              </w:rPr>
            </w:pPr>
          </w:p>
        </w:tc>
        <w:tc>
          <w:tcPr>
            <w:tcW w:w="1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FF"/>
                <w:w w:val="95"/>
              </w:rPr>
              <w:t>Form of Subordinated Note</w:t>
            </w:r>
          </w:p>
        </w:tc>
        <w:tc>
          <w:tcPr>
            <w:tcW w:w="52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22"/>
                <w:szCs w:val="22"/>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Warrant Agreement</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22"/>
                <w:szCs w:val="22"/>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Unit Agreement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9"/>
                <w:szCs w:val="19"/>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Opinion of Wilmer Cutler Pickering Hale and Dorr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 for the Registrant</w:t>
            </w: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20"/>
                <w:szCs w:val="20"/>
                <w:color w:val="auto"/>
              </w:rPr>
            </w:pPr>
          </w:p>
        </w:tc>
        <w:tc>
          <w:tcPr>
            <w:tcW w:w="5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FF"/>
              </w:rPr>
              <w:t>Consent of Wilmer Cutler Pickering Hale and Dorr LLP (included in Exhibit 5.1)</w:t>
            </w:r>
          </w:p>
        </w:tc>
        <w:tc>
          <w:tcPr>
            <w:tcW w:w="15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w w:val="96"/>
              </w:rPr>
              <w:t>24.1***</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Powers of Attorney (included in the signature pages to the Registration Statement)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gridSpan w:val="8"/>
            <w:shd w:val="clear" w:color="auto" w:fill="0000EE"/>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21"/>
                <w:szCs w:val="21"/>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w w:val="99"/>
              </w:rPr>
              <w:t>Statement of Eligibility on Form T-1 under the Trust Indenture Act of 1939, as amended, of the Trustee under the Senior</w:t>
            </w: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Indenture</w:t>
            </w: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Statement of Eligibility on Form T-1 under the Trust Indenture Act of 1939, as amended, of the Trustee under the</w:t>
            </w: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Subordinated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-2681605</wp:posOffset>
            </wp:positionV>
            <wp:extent cx="2159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21590" cy="6350"/>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-2153920</wp:posOffset>
            </wp:positionV>
            <wp:extent cx="2159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21590" cy="635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-1671955</wp:posOffset>
            </wp:positionV>
            <wp:extent cx="2159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59" w:lineRule="exact"/>
        <w:rPr>
          <w:sz w:val="20"/>
          <w:szCs w:val="20"/>
          <w:color w:val="auto"/>
        </w:rPr>
      </w:pPr>
    </w:p>
    <w:p>
      <w:pPr>
        <w:ind w:left="1400" w:hanging="543"/>
        <w:spacing w:after="0"/>
        <w:tabs>
          <w:tab w:leader="none" w:pos="1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-10160</wp:posOffset>
            </wp:positionV>
            <wp:extent cx="56642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66420" cy="6350"/>
                    </a:xfrm>
                    <a:prstGeom prst="rect">
                      <a:avLst/>
                    </a:prstGeom>
                    <a:noFill/>
                  </pic:spPr>
                </pic:pic>
              </a:graphicData>
            </a:graphic>
          </wp:anchor>
        </w:drawing>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 To be filed by amendment or by a Current Report on Form 8-K.</w:t>
      </w:r>
    </w:p>
    <w:p>
      <w:pPr>
        <w:spacing w:after="0" w:line="13" w:lineRule="exact"/>
        <w:rPr>
          <w:sz w:val="20"/>
          <w:szCs w:val="20"/>
          <w:color w:val="auto"/>
        </w:rPr>
      </w:pPr>
    </w:p>
    <w:p>
      <w:pPr>
        <w:ind w:left="1020" w:hanging="16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pursuant to Section 305(b)(2) of the Trust Indenture Act of 1939.</w:t>
      </w:r>
    </w:p>
    <w:p>
      <w:pPr>
        <w:spacing w:after="0" w:line="1" w:lineRule="exact"/>
        <w:rPr>
          <w:rFonts w:ascii="Times New Roman" w:cs="Times New Roman" w:eastAsia="Times New Roman" w:hAnsi="Times New Roman"/>
          <w:sz w:val="14"/>
          <w:szCs w:val="14"/>
          <w:color w:val="auto"/>
        </w:rPr>
      </w:pPr>
    </w:p>
    <w:p>
      <w:pPr>
        <w:ind w:left="1100" w:hanging="243"/>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original filing of this registration statement.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7" w:name="page58"/>
    <w:bookmarkEnd w:id="57"/>
    <w:p>
      <w:pPr>
        <w:ind w:left="8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82" w:lineRule="exact"/>
        <w:rPr>
          <w:sz w:val="20"/>
          <w:szCs w:val="20"/>
          <w:color w:val="auto"/>
        </w:rPr>
      </w:pPr>
    </w:p>
    <w:p>
      <w:pPr>
        <w:ind w:left="1520" w:right="1399" w:hanging="330"/>
        <w:spacing w:after="0" w:line="261" w:lineRule="auto"/>
        <w:rPr>
          <w:sz w:val="20"/>
          <w:szCs w:val="20"/>
          <w:color w:val="auto"/>
        </w:rPr>
      </w:pPr>
      <w:r>
        <w:rPr>
          <w:rFonts w:ascii="Times New Roman" w:cs="Times New Roman" w:eastAsia="Times New Roman" w:hAnsi="Times New Roman"/>
          <w:sz w:val="14"/>
          <w:szCs w:val="14"/>
          <w:color w:val="auto"/>
        </w:rPr>
        <w:t>(a)(1)To file, during any period in which offers or sales are being made, a post-effective amendment to this registration statement:</w:t>
      </w:r>
    </w:p>
    <w:p>
      <w:pPr>
        <w:spacing w:after="0" w:line="55" w:lineRule="exact"/>
        <w:rPr>
          <w:sz w:val="20"/>
          <w:szCs w:val="20"/>
          <w:color w:val="auto"/>
        </w:rPr>
      </w:pPr>
    </w:p>
    <w:p>
      <w:pPr>
        <w:ind w:left="1840" w:right="1059" w:hanging="322"/>
        <w:spacing w:after="0" w:line="261" w:lineRule="auto"/>
        <w:tabs>
          <w:tab w:leader="none" w:pos="18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55" w:lineRule="exact"/>
        <w:rPr>
          <w:rFonts w:ascii="Times New Roman" w:cs="Times New Roman" w:eastAsia="Times New Roman" w:hAnsi="Times New Roman"/>
          <w:sz w:val="14"/>
          <w:szCs w:val="14"/>
          <w:color w:val="auto"/>
        </w:rPr>
      </w:pPr>
    </w:p>
    <w:p>
      <w:pPr>
        <w:ind w:left="1840" w:right="939" w:hanging="322"/>
        <w:spacing w:after="0" w:line="244" w:lineRule="auto"/>
        <w:tabs>
          <w:tab w:leader="none" w:pos="18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Times New Roman" w:cs="Times New Roman" w:eastAsia="Times New Roman" w:hAnsi="Times New Roman"/>
          <w:sz w:val="14"/>
          <w:szCs w:val="14"/>
          <w:color w:val="auto"/>
        </w:rPr>
      </w:pPr>
    </w:p>
    <w:p>
      <w:pPr>
        <w:ind w:left="1840" w:right="1439" w:hanging="322"/>
        <w:spacing w:after="0" w:line="261" w:lineRule="auto"/>
        <w:tabs>
          <w:tab w:leader="none" w:pos="18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34" w:lineRule="exact"/>
        <w:rPr>
          <w:sz w:val="20"/>
          <w:szCs w:val="20"/>
          <w:color w:val="auto"/>
        </w:rPr>
      </w:pPr>
    </w:p>
    <w:p>
      <w:pPr>
        <w:ind w:left="860" w:right="93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do not apply if the information required to be included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post-effective 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65" w:lineRule="exact"/>
        <w:rPr>
          <w:sz w:val="20"/>
          <w:szCs w:val="20"/>
          <w:color w:val="auto"/>
        </w:rPr>
      </w:pPr>
    </w:p>
    <w:p>
      <w:pPr>
        <w:ind w:left="1520" w:right="979" w:hanging="333"/>
        <w:spacing w:after="0" w:line="251" w:lineRule="auto"/>
        <w:tabs>
          <w:tab w:leader="none" w:pos="1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2" w:lineRule="exact"/>
        <w:rPr>
          <w:rFonts w:ascii="Times New Roman" w:cs="Times New Roman" w:eastAsia="Times New Roman" w:hAnsi="Times New Roman"/>
          <w:sz w:val="14"/>
          <w:szCs w:val="14"/>
          <w:color w:val="auto"/>
        </w:rPr>
      </w:pPr>
    </w:p>
    <w:p>
      <w:pPr>
        <w:ind w:left="1520" w:right="959" w:hanging="333"/>
        <w:spacing w:after="0" w:line="261" w:lineRule="auto"/>
        <w:tabs>
          <w:tab w:leader="none" w:pos="1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5" w:lineRule="exact"/>
        <w:rPr>
          <w:rFonts w:ascii="Times New Roman" w:cs="Times New Roman" w:eastAsia="Times New Roman" w:hAnsi="Times New Roman"/>
          <w:sz w:val="14"/>
          <w:szCs w:val="14"/>
          <w:color w:val="auto"/>
        </w:rPr>
      </w:pPr>
    </w:p>
    <w:p>
      <w:pPr>
        <w:ind w:left="1520" w:hanging="333"/>
        <w:spacing w:after="0"/>
        <w:tabs>
          <w:tab w:leader="none" w:pos="1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82" w:lineRule="exact"/>
        <w:rPr>
          <w:rFonts w:ascii="Times New Roman" w:cs="Times New Roman" w:eastAsia="Times New Roman" w:hAnsi="Times New Roman"/>
          <w:sz w:val="14"/>
          <w:szCs w:val="14"/>
          <w:color w:val="auto"/>
        </w:rPr>
      </w:pPr>
    </w:p>
    <w:p>
      <w:pPr>
        <w:jc w:val="both"/>
        <w:ind w:left="1840" w:right="1159" w:hanging="322"/>
        <w:spacing w:after="0" w:line="345" w:lineRule="auto"/>
        <w:tabs>
          <w:tab w:leader="none" w:pos="1840"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 w:lineRule="exact"/>
        <w:rPr>
          <w:rFonts w:ascii="Times New Roman" w:cs="Times New Roman" w:eastAsia="Times New Roman" w:hAnsi="Times New Roman"/>
          <w:sz w:val="12"/>
          <w:szCs w:val="12"/>
          <w:color w:val="auto"/>
        </w:rPr>
      </w:pPr>
    </w:p>
    <w:p>
      <w:pPr>
        <w:ind w:left="1840" w:right="879" w:hanging="322"/>
        <w:spacing w:after="0" w:line="243" w:lineRule="auto"/>
        <w:tabs>
          <w:tab w:leader="none" w:pos="18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r>
        <w:rPr>
          <w:rFonts w:ascii="Times New Roman" w:cs="Times New Roman" w:eastAsia="Times New Roman" w:hAnsi="Times New Roman"/>
          <w:sz w:val="14"/>
          <w:szCs w:val="14"/>
          <w:i w:val="1"/>
          <w:iCs w:val="1"/>
          <w:color w:val="auto"/>
        </w:rPr>
        <w:t xml:space="preserve"> provided, however</w:t>
      </w:r>
      <w:r>
        <w:rPr>
          <w:rFonts w:ascii="Times New Roman" w:cs="Times New Roman" w:eastAsia="Times New Roman" w:hAnsi="Times New Roman"/>
          <w:sz w:val="14"/>
          <w:szCs w:val="14"/>
          <w:color w:val="auto"/>
        </w:rPr>
        <w:t>, that no statement made in a registration statement or prospectus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8" w:lineRule="exact"/>
        <w:rPr>
          <w:rFonts w:ascii="Times New Roman" w:cs="Times New Roman" w:eastAsia="Times New Roman" w:hAnsi="Times New Roman"/>
          <w:sz w:val="14"/>
          <w:szCs w:val="14"/>
          <w:color w:val="auto"/>
        </w:rPr>
      </w:pPr>
    </w:p>
    <w:p>
      <w:pPr>
        <w:ind w:left="1520" w:right="1199" w:hanging="333"/>
        <w:spacing w:after="0" w:line="250" w:lineRule="auto"/>
        <w:tabs>
          <w:tab w:leader="none" w:pos="1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w:t>
      </w:r>
    </w:p>
    <w:p>
      <w:pPr>
        <w:spacing w:after="0" w:line="1" w:lineRule="exact"/>
        <w:rPr>
          <w:rFonts w:ascii="Times New Roman" w:cs="Times New Roman" w:eastAsia="Times New Roman" w:hAnsi="Times New Roman"/>
          <w:sz w:val="14"/>
          <w:szCs w:val="14"/>
          <w:color w:val="auto"/>
        </w:rPr>
      </w:pPr>
    </w:p>
    <w:p>
      <w:pPr>
        <w:ind w:left="1520" w:right="1019"/>
        <w:spacing w:after="0" w:line="2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rFonts w:ascii="Times New Roman" w:cs="Times New Roman" w:eastAsia="Times New Roman" w:hAnsi="Times New Roman"/>
          <w:sz w:val="14"/>
          <w:szCs w:val="14"/>
          <w:color w:val="auto"/>
        </w:rPr>
      </w:pPr>
    </w:p>
    <w:p>
      <w:pPr>
        <w:ind w:left="1840" w:right="999" w:hanging="322"/>
        <w:spacing w:after="0" w:line="261" w:lineRule="auto"/>
        <w:tabs>
          <w:tab w:leader="none" w:pos="18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8" w:name="page59"/>
    <w:bookmarkEnd w:id="58"/>
    <w:p>
      <w:pPr>
        <w:ind w:left="1840" w:right="879" w:hanging="322"/>
        <w:spacing w:after="0" w:line="261" w:lineRule="auto"/>
        <w:tabs>
          <w:tab w:leader="none" w:pos="18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5" w:lineRule="exact"/>
        <w:rPr>
          <w:rFonts w:ascii="Times New Roman" w:cs="Times New Roman" w:eastAsia="Times New Roman" w:hAnsi="Times New Roman"/>
          <w:sz w:val="14"/>
          <w:szCs w:val="14"/>
          <w:color w:val="auto"/>
        </w:rPr>
      </w:pPr>
    </w:p>
    <w:p>
      <w:pPr>
        <w:ind w:left="1840" w:right="1079" w:hanging="322"/>
        <w:spacing w:after="0" w:line="345" w:lineRule="auto"/>
        <w:tabs>
          <w:tab w:leader="none" w:pos="1840"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any other free writing prospectus relating to the offering containing material information about the undersigned Registrant or its securities provided by or on behalf of the undersigned Registrant; and</w:t>
      </w:r>
    </w:p>
    <w:p>
      <w:pPr>
        <w:spacing w:after="0" w:line="8" w:lineRule="exact"/>
        <w:rPr>
          <w:rFonts w:ascii="Times New Roman" w:cs="Times New Roman" w:eastAsia="Times New Roman" w:hAnsi="Times New Roman"/>
          <w:sz w:val="12"/>
          <w:szCs w:val="12"/>
          <w:color w:val="auto"/>
        </w:rPr>
      </w:pPr>
    </w:p>
    <w:p>
      <w:pPr>
        <w:ind w:left="1840" w:hanging="322"/>
        <w:spacing w:after="0"/>
        <w:tabs>
          <w:tab w:leader="none" w:pos="18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82" w:lineRule="exact"/>
        <w:rPr>
          <w:rFonts w:ascii="Times New Roman" w:cs="Times New Roman" w:eastAsia="Times New Roman" w:hAnsi="Times New Roman"/>
          <w:sz w:val="14"/>
          <w:szCs w:val="14"/>
          <w:color w:val="auto"/>
        </w:rPr>
      </w:pPr>
    </w:p>
    <w:p>
      <w:pPr>
        <w:ind w:left="1520" w:hanging="333"/>
        <w:spacing w:after="0"/>
        <w:tabs>
          <w:tab w:leader="none" w:pos="1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w:t>
      </w:r>
    </w:p>
    <w:p>
      <w:pPr>
        <w:spacing w:after="0" w:line="82" w:lineRule="exact"/>
        <w:rPr>
          <w:rFonts w:ascii="Times New Roman" w:cs="Times New Roman" w:eastAsia="Times New Roman" w:hAnsi="Times New Roman"/>
          <w:sz w:val="14"/>
          <w:szCs w:val="14"/>
          <w:color w:val="auto"/>
        </w:rPr>
      </w:pPr>
    </w:p>
    <w:p>
      <w:pPr>
        <w:ind w:left="1840" w:right="939" w:hanging="322"/>
        <w:spacing w:after="0" w:line="248" w:lineRule="auto"/>
        <w:tabs>
          <w:tab w:leader="none" w:pos="184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64" w:lineRule="exact"/>
        <w:rPr>
          <w:rFonts w:ascii="Times New Roman" w:cs="Times New Roman" w:eastAsia="Times New Roman" w:hAnsi="Times New Roman"/>
          <w:sz w:val="14"/>
          <w:szCs w:val="14"/>
          <w:color w:val="auto"/>
        </w:rPr>
      </w:pPr>
    </w:p>
    <w:p>
      <w:pPr>
        <w:ind w:left="1840" w:right="899" w:hanging="322"/>
        <w:spacing w:after="0" w:line="251" w:lineRule="auto"/>
        <w:tabs>
          <w:tab w:leader="none" w:pos="184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2" w:lineRule="exact"/>
        <w:rPr>
          <w:sz w:val="20"/>
          <w:szCs w:val="20"/>
          <w:color w:val="auto"/>
        </w:rPr>
      </w:pPr>
    </w:p>
    <w:p>
      <w:pPr>
        <w:ind w:left="1520" w:right="979" w:hanging="333"/>
        <w:spacing w:after="0" w:line="245" w:lineRule="auto"/>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7" w:lineRule="exact"/>
        <w:rPr>
          <w:rFonts w:ascii="Times New Roman" w:cs="Times New Roman" w:eastAsia="Times New Roman" w:hAnsi="Times New Roman"/>
          <w:sz w:val="14"/>
          <w:szCs w:val="14"/>
          <w:color w:val="auto"/>
        </w:rPr>
      </w:pPr>
    </w:p>
    <w:p>
      <w:pPr>
        <w:ind w:left="1520" w:right="999" w:hanging="333"/>
        <w:spacing w:after="0" w:line="251" w:lineRule="auto"/>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62" w:lineRule="exact"/>
        <w:rPr>
          <w:rFonts w:ascii="Times New Roman" w:cs="Times New Roman" w:eastAsia="Times New Roman" w:hAnsi="Times New Roman"/>
          <w:sz w:val="14"/>
          <w:szCs w:val="14"/>
          <w:color w:val="auto"/>
        </w:rPr>
      </w:pPr>
    </w:p>
    <w:p>
      <w:pPr>
        <w:ind w:left="1520" w:right="879" w:hanging="333"/>
        <w:spacing w:after="0" w:line="243" w:lineRule="auto"/>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7" w:lineRule="exact"/>
        <w:rPr>
          <w:sz w:val="20"/>
          <w:szCs w:val="20"/>
          <w:color w:val="auto"/>
        </w:rPr>
      </w:pPr>
    </w:p>
    <w:p>
      <w:pPr>
        <w:ind w:left="860" w:right="919" w:firstLine="331"/>
        <w:spacing w:after="0" w:line="24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Waltham, Commonwealth of Massachusetts, on May 27, 2026.</w:t>
      </w:r>
    </w:p>
    <w:p>
      <w:pPr>
        <w:spacing w:after="0" w:line="3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XILIO THERAPEUTICS, INC.</w:t>
      </w:r>
    </w:p>
    <w:p>
      <w:pPr>
        <w:spacing w:after="0" w:line="17"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 René Russo</w:t>
            </w:r>
          </w:p>
        </w:tc>
      </w:tr>
      <w:tr>
        <w:trPr>
          <w:trHeight w:val="139"/>
        </w:trPr>
        <w:tc>
          <w:tcPr>
            <w:tcW w:w="440" w:type="dxa"/>
            <w:vAlign w:val="bottom"/>
          </w:tcPr>
          <w:p>
            <w:pPr>
              <w:spacing w:after="0"/>
              <w:rPr>
                <w:sz w:val="12"/>
                <w:szCs w:val="12"/>
                <w:color w:val="auto"/>
              </w:rPr>
            </w:pPr>
          </w:p>
        </w:tc>
        <w:tc>
          <w:tcPr>
            <w:tcW w:w="686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Name: René Russo</w:t>
            </w:r>
          </w:p>
        </w:tc>
      </w:tr>
      <w:tr>
        <w:trPr>
          <w:trHeight w:val="174"/>
        </w:trPr>
        <w:tc>
          <w:tcPr>
            <w:tcW w:w="440" w:type="dxa"/>
            <w:vAlign w:val="bottom"/>
          </w:tcPr>
          <w:p>
            <w:pPr>
              <w:spacing w:after="0"/>
              <w:rPr>
                <w:sz w:val="15"/>
                <w:szCs w:val="15"/>
                <w:color w:val="auto"/>
              </w:rPr>
            </w:pPr>
          </w:p>
        </w:tc>
        <w:tc>
          <w:tcPr>
            <w:tcW w:w="6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Title: President and Chief Executive Officer</w:t>
            </w:r>
          </w:p>
        </w:tc>
      </w:tr>
    </w:tbl>
    <w:p>
      <w:pPr>
        <w:spacing w:after="0" w:line="332" w:lineRule="exact"/>
        <w:rPr>
          <w:sz w:val="20"/>
          <w:szCs w:val="20"/>
          <w:color w:val="auto"/>
        </w:rPr>
      </w:pPr>
    </w:p>
    <w:p>
      <w:pPr>
        <w:ind w:left="860" w:right="1139" w:firstLine="486"/>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Amendment No. 1 to the Registration Statement has been signed by the following persons in the capacities and on the dates indicated.</w:t>
      </w:r>
    </w:p>
    <w:p>
      <w:pPr>
        <w:spacing w:after="0" w:line="312" w:lineRule="exact"/>
        <w:rPr>
          <w:sz w:val="20"/>
          <w:szCs w:val="20"/>
          <w:color w:val="auto"/>
        </w:rPr>
      </w:pPr>
    </w:p>
    <w:tbl>
      <w:tblPr>
        <w:tblLayout w:type="fixed"/>
        <w:tblInd w:w="860" w:type="dxa"/>
        <w:tblCellMar>
          <w:top w:w="0" w:type="dxa"/>
          <w:left w:w="0" w:type="dxa"/>
          <w:bottom w:w="0" w:type="dxa"/>
          <w:right w:w="0" w:type="dxa"/>
        </w:tblCellMar>
      </w:tblP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060" w:type="dxa"/>
            <w:vAlign w:val="bottom"/>
          </w:tcPr>
          <w:p>
            <w:pPr>
              <w:jc w:val="center"/>
              <w:ind w:left="214"/>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313"/>
        </w:trPr>
        <w:tc>
          <w:tcPr>
            <w:tcW w:w="2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/s/ René Russo</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President, Chief Executive Officer and Director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René Russo</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(Principal Executive Officer)</w:t>
            </w: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32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Chief Financial Officer and Chief Operating Officer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Christopher Frankenfield</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(Principal Financial and Accounting Officer)</w:t>
            </w: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32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Chair of the Board</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Sara M. Bonstein</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Akintunde Bello</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Cheryl R. Blanchard</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Aoife Brennan</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Daniel Curran</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Robert Ross</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James Shannon</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4"/>
              <w:spacing w:after="0"/>
              <w:rPr>
                <w:sz w:val="20"/>
                <w:szCs w:val="20"/>
                <w:color w:val="auto"/>
              </w:rPr>
            </w:pPr>
            <w:r>
              <w:rPr>
                <w:rFonts w:ascii="Times New Roman" w:cs="Times New Roman" w:eastAsia="Times New Roman" w:hAnsi="Times New Roman"/>
                <w:sz w:val="14"/>
                <w:szCs w:val="14"/>
                <w:color w:val="auto"/>
                <w:w w:val="97"/>
              </w:rPr>
              <w:t>May 27, 2026</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Yuan Xu</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3"/>
              </w:rPr>
              <w:t>/s/ René Russo</w:t>
            </w:r>
          </w:p>
        </w:tc>
        <w:tc>
          <w:tcPr>
            <w:tcW w:w="1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218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color w:val="auto"/>
              </w:rPr>
              <w:t>René Russo</w:t>
            </w:r>
          </w:p>
        </w:tc>
        <w:tc>
          <w:tcPr>
            <w:tcW w:w="3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2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Attorney-in-Fact</w:t>
            </w:r>
          </w:p>
        </w:tc>
        <w:tc>
          <w:tcPr>
            <w:tcW w:w="3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60" w:name="page61"/>
    <w:bookmarkEnd w:id="60"/>
    <w:p>
      <w:pPr>
        <w:ind w:left="690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159"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260" w:type="dxa"/>
            <w:vAlign w:val="bottom"/>
            <w:gridSpan w:val="3"/>
          </w:tcPr>
          <w:p>
            <w:pPr>
              <w:jc w:val="center"/>
              <w:ind w:right="3000"/>
              <w:spacing w:after="0"/>
              <w:rPr>
                <w:sz w:val="20"/>
                <w:szCs w:val="20"/>
                <w:color w:val="auto"/>
              </w:rPr>
            </w:pPr>
            <w:r>
              <w:rPr>
                <w:rFonts w:ascii="Times New Roman" w:cs="Times New Roman" w:eastAsia="Times New Roman" w:hAnsi="Times New Roman"/>
                <w:sz w:val="16"/>
                <w:szCs w:val="16"/>
                <w:b w:val="1"/>
                <w:bCs w:val="1"/>
                <w:color w:val="auto"/>
              </w:rPr>
              <w:t>XILIO THERAPEUTICS, INC.</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00"/>
              <w:spacing w:after="0" w:line="182" w:lineRule="exact"/>
              <w:rPr>
                <w:sz w:val="20"/>
                <w:szCs w:val="20"/>
                <w:color w:val="auto"/>
              </w:rPr>
            </w:pPr>
            <w:r>
              <w:rPr>
                <w:rFonts w:ascii="Times New Roman" w:cs="Times New Roman" w:eastAsia="Times New Roman" w:hAnsi="Times New Roman"/>
                <w:sz w:val="16"/>
                <w:szCs w:val="16"/>
                <w:b w:val="1"/>
                <w:bCs w:val="1"/>
                <w:color w:val="auto"/>
              </w:rPr>
              <w:t>and</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Trustee</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00"/>
              <w:spacing w:after="0" w:line="182" w:lineRule="exact"/>
              <w:rPr>
                <w:sz w:val="20"/>
                <w:szCs w:val="20"/>
                <w:color w:val="auto"/>
              </w:rPr>
            </w:pPr>
            <w:r>
              <w:rPr>
                <w:rFonts w:ascii="Times New Roman" w:cs="Times New Roman" w:eastAsia="Times New Roman" w:hAnsi="Times New Roman"/>
                <w:sz w:val="16"/>
                <w:szCs w:val="16"/>
                <w:b w:val="1"/>
                <w:bCs w:val="1"/>
                <w:color w:val="auto"/>
              </w:rPr>
              <w:t>INDENTURE</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20"/>
              <w:spacing w:after="0" w:line="182" w:lineRule="exact"/>
              <w:rPr>
                <w:sz w:val="20"/>
                <w:szCs w:val="20"/>
                <w:color w:val="auto"/>
              </w:rPr>
            </w:pPr>
            <w:r>
              <w:rPr>
                <w:rFonts w:ascii="Times New Roman" w:cs="Times New Roman" w:eastAsia="Times New Roman" w:hAnsi="Times New Roman"/>
                <w:sz w:val="16"/>
                <w:szCs w:val="16"/>
                <w:b w:val="1"/>
                <w:bCs w:val="1"/>
                <w:color w:val="auto"/>
              </w:rPr>
              <w:t>Dated as of _______________</w:t>
            </w:r>
          </w:p>
        </w:tc>
      </w:tr>
      <w:tr>
        <w:trPr>
          <w:trHeight w:val="192"/>
        </w:trPr>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260" w:type="dxa"/>
            <w:vAlign w:val="bottom"/>
            <w:gridSpan w:val="3"/>
          </w:tcPr>
          <w:p>
            <w:pPr>
              <w:jc w:val="center"/>
              <w:ind w:right="3020"/>
              <w:spacing w:after="0"/>
              <w:rPr>
                <w:sz w:val="20"/>
                <w:szCs w:val="20"/>
                <w:color w:val="auto"/>
              </w:rPr>
            </w:pPr>
            <w:r>
              <w:rPr>
                <w:rFonts w:ascii="Times New Roman" w:cs="Times New Roman" w:eastAsia="Times New Roman" w:hAnsi="Times New Roman"/>
                <w:sz w:val="16"/>
                <w:szCs w:val="16"/>
                <w:b w:val="1"/>
                <w:bCs w:val="1"/>
                <w:color w:val="auto"/>
              </w:rPr>
              <w:t>SENIOR DEBT SECURITIES</w:t>
            </w:r>
          </w:p>
        </w:tc>
      </w:tr>
      <w:tr>
        <w:trPr>
          <w:trHeight w:val="175"/>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20"/>
              <w:spacing w:after="0" w:line="175" w:lineRule="exact"/>
              <w:rPr>
                <w:sz w:val="20"/>
                <w:szCs w:val="20"/>
                <w:color w:val="auto"/>
              </w:rPr>
            </w:pPr>
            <w:r>
              <w:rPr>
                <w:rFonts w:ascii="Times New Roman" w:cs="Times New Roman" w:eastAsia="Times New Roman" w:hAnsi="Times New Roman"/>
                <w:sz w:val="15"/>
                <w:szCs w:val="15"/>
                <w:b w:val="1"/>
                <w:bCs w:val="1"/>
                <w:color w:val="auto"/>
              </w:rPr>
              <w:t>CROSS-REFERENCE TABLE</w:t>
            </w:r>
            <w:r>
              <w:rPr>
                <w:rFonts w:ascii="Times New Roman" w:cs="Times New Roman" w:eastAsia="Times New Roman" w:hAnsi="Times New Roman"/>
                <w:sz w:val="20"/>
                <w:szCs w:val="20"/>
                <w:b w:val="1"/>
                <w:bCs w:val="1"/>
                <w:color w:val="auto"/>
                <w:vertAlign w:val="superscript"/>
              </w:rPr>
              <w:t>1</w:t>
            </w:r>
          </w:p>
        </w:tc>
      </w:tr>
      <w:tr>
        <w:trPr>
          <w:trHeight w:val="20"/>
        </w:trPr>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34"/>
        </w:trPr>
        <w:tc>
          <w:tcPr>
            <w:tcW w:w="108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of Trust Indenture Act</w:t>
            </w:r>
          </w:p>
        </w:tc>
      </w:tr>
      <w:tr>
        <w:trPr>
          <w:trHeight w:val="203"/>
        </w:trPr>
        <w:tc>
          <w:tcPr>
            <w:tcW w:w="108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of 1939, as amended</w:t>
            </w:r>
          </w:p>
        </w:tc>
        <w:tc>
          <w:tcPr>
            <w:tcW w:w="5260" w:type="dxa"/>
            <w:vAlign w:val="bottom"/>
            <w:gridSpan w:val="3"/>
          </w:tcPr>
          <w:p>
            <w:pPr>
              <w:ind w:left="1460"/>
              <w:spacing w:after="0"/>
              <w:rPr>
                <w:sz w:val="20"/>
                <w:szCs w:val="20"/>
                <w:color w:val="auto"/>
              </w:rPr>
            </w:pPr>
            <w:r>
              <w:rPr>
                <w:rFonts w:ascii="Times New Roman" w:cs="Times New Roman" w:eastAsia="Times New Roman" w:hAnsi="Times New Roman"/>
                <w:sz w:val="16"/>
                <w:szCs w:val="16"/>
                <w:color w:val="auto"/>
              </w:rPr>
              <w:t>Section of Indenture</w:t>
            </w:r>
          </w:p>
        </w:tc>
      </w:tr>
      <w:tr>
        <w:trPr>
          <w:trHeight w:val="152"/>
        </w:trPr>
        <w:tc>
          <w:tcPr>
            <w:tcW w:w="1080" w:type="dxa"/>
            <w:vAlign w:val="bottom"/>
          </w:tcPr>
          <w:p>
            <w:pPr>
              <w:spacing w:after="0"/>
              <w:rPr>
                <w:sz w:val="13"/>
                <w:szCs w:val="13"/>
                <w:color w:val="auto"/>
              </w:rPr>
            </w:pPr>
          </w:p>
        </w:tc>
        <w:tc>
          <w:tcPr>
            <w:tcW w:w="194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310(a)</w:t>
            </w:r>
          </w:p>
        </w:tc>
        <w:tc>
          <w:tcPr>
            <w:tcW w:w="2180" w:type="dxa"/>
            <w:vAlign w:val="bottom"/>
            <w:tcBorders>
              <w:top w:val="single" w:sz="8" w:color="auto"/>
            </w:tcBorders>
          </w:tcPr>
          <w:p>
            <w:pPr>
              <w:ind w:left="1460"/>
              <w:spacing w:after="0" w:line="152" w:lineRule="exact"/>
              <w:rPr>
                <w:sz w:val="20"/>
                <w:szCs w:val="20"/>
                <w:color w:val="auto"/>
              </w:rPr>
            </w:pPr>
            <w:r>
              <w:rPr>
                <w:rFonts w:ascii="Times New Roman" w:cs="Times New Roman" w:eastAsia="Times New Roman" w:hAnsi="Times New Roman"/>
                <w:sz w:val="16"/>
                <w:szCs w:val="16"/>
                <w:color w:val="auto"/>
              </w:rPr>
              <w:t>6.09</w:t>
            </w:r>
          </w:p>
        </w:tc>
        <w:tc>
          <w:tcPr>
            <w:tcW w:w="202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6.08</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6.10</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310(c)</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311(c)</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4.04</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312(b)</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312(c)</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313(c)</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313(d)</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314(b)</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314(c)</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2.04</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8.04</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9.01(c)</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10.01(b)</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314(d)</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314(e)</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314(f)</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5.11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315(c)</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315(d)</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315(e)</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5.12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2"/>
        </w:trPr>
        <w:tc>
          <w:tcPr>
            <w:tcW w:w="108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316(a)</w:t>
            </w:r>
          </w:p>
        </w:tc>
        <w:tc>
          <w:tcPr>
            <w:tcW w:w="21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5.09</w:t>
            </w:r>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5.10</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0"/>
        </w:trPr>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7.04</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046"/>
        </w:trPr>
        <w:tc>
          <w:tcPr>
            <w:tcW w:w="1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1" w:name="page62"/>
    <w:bookmarkEnd w:id="61"/>
    <w:tbl>
      <w:tblPr>
        <w:tblLayout w:type="fixed"/>
        <w:tblInd w:w="1440" w:type="dxa"/>
        <w:tblCellMar>
          <w:top w:w="0" w:type="dxa"/>
          <w:left w:w="0" w:type="dxa"/>
          <w:bottom w:w="0" w:type="dxa"/>
          <w:right w:w="0" w:type="dxa"/>
        </w:tblCellMar>
      </w:tblPr>
      <w:tr>
        <w:trPr>
          <w:trHeight w:val="18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316(b)</w:t>
            </w:r>
          </w:p>
        </w:tc>
        <w:tc>
          <w:tcPr>
            <w:tcW w:w="184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5.06</w:t>
            </w:r>
          </w:p>
        </w:tc>
      </w:tr>
      <w:tr>
        <w:trPr>
          <w:trHeight w:val="182"/>
        </w:trPr>
        <w:tc>
          <w:tcPr>
            <w:tcW w:w="1920" w:type="dxa"/>
            <w:vAlign w:val="bottom"/>
          </w:tcPr>
          <w:p>
            <w:pPr>
              <w:spacing w:after="0"/>
              <w:rPr>
                <w:sz w:val="15"/>
                <w:szCs w:val="15"/>
                <w:color w:val="auto"/>
              </w:rPr>
            </w:pP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5.10</w:t>
            </w: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316(c)</w:t>
            </w: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7.02</w:t>
            </w: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317(a)</w:t>
            </w: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5.04</w:t>
            </w: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317(b)</w:t>
            </w: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3.04</w:t>
            </w: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318(a)</w:t>
            </w:r>
          </w:p>
        </w:tc>
        <w:tc>
          <w:tcPr>
            <w:tcW w:w="184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94"/>
              </w:rPr>
              <w:t>11.07</w:t>
            </w:r>
          </w:p>
        </w:tc>
      </w:tr>
    </w:tbl>
    <w:p>
      <w:pPr>
        <w:spacing w:after="0" w:line="324" w:lineRule="exact"/>
        <w:rPr>
          <w:sz w:val="20"/>
          <w:szCs w:val="20"/>
          <w:color w:val="auto"/>
        </w:rPr>
      </w:pPr>
    </w:p>
    <w:p>
      <w:pPr>
        <w:ind w:left="1340" w:right="1839" w:firstLine="3"/>
        <w:spacing w:after="0" w:line="219" w:lineRule="auto"/>
        <w:tabs>
          <w:tab w:leader="none" w:pos="1419"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760095</wp:posOffset>
            </wp:positionV>
            <wp:extent cx="528764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62" w:name="page63"/>
    <w:bookmarkEnd w:id="62"/>
    <w:tbl>
      <w:tblPr>
        <w:tblLayout w:type="fixed"/>
        <w:tblInd w:w="134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466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80" w:type="dxa"/>
            <w:vAlign w:val="bottom"/>
          </w:tcPr>
          <w:p>
            <w:pPr>
              <w:spacing w:after="0"/>
              <w:rPr>
                <w:sz w:val="18"/>
                <w:szCs w:val="18"/>
                <w:color w:val="auto"/>
              </w:rPr>
            </w:pPr>
          </w:p>
        </w:tc>
      </w:tr>
      <w:tr>
        <w:trPr>
          <w:trHeight w:val="344"/>
        </w:trPr>
        <w:tc>
          <w:tcPr>
            <w:tcW w:w="148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44"/>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 DEFINITIONS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1.01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Certain Terms Defined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6140" w:type="dxa"/>
            <w:vAlign w:val="bottom"/>
            <w:gridSpan w:val="2"/>
          </w:tcPr>
          <w:p>
            <w:pPr>
              <w:jc w:val="center"/>
              <w:ind w:right="4259"/>
              <w:spacing w:after="0"/>
              <w:rPr>
                <w:sz w:val="20"/>
                <w:szCs w:val="20"/>
                <w:color w:val="auto"/>
              </w:rPr>
            </w:pPr>
            <w:r>
              <w:rPr>
                <w:rFonts w:ascii="Times New Roman" w:cs="Times New Roman" w:eastAsia="Times New Roman" w:hAnsi="Times New Roman"/>
                <w:sz w:val="16"/>
                <w:szCs w:val="16"/>
                <w:color w:val="0000FF"/>
              </w:rPr>
              <w:t>ARTICLE 2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Forms Generally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Form of Trustee’s Certificate of Authentication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2.03</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Amount Unlimited; Issuable in Series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2.04</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Authentication and Delivery of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2.05</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Execution of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2.06</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Certificate of Authentication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2.07</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Denomination and Date of Securities; Payments of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2.08</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Registration, Transfer and Exchange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2.09</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Mutilated, Defaced, Destroyed, Lost and Stolen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2.10</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Cancellation of Securities; Destruction Thereof</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2.11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Temporary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2.12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CUSIP Numbers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3 COVENANTS OF THE ISSUER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Payment of Principal and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Offices for Payments, Etc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3.03</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Appointment to Fill a Vacancy in Office of Trustee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3.04</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Paying Agents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3.05</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Written Statement to Trustee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25"/>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4 SECURITYHOLDERS LISTS AND REPORTS BY THE ISSUER AND THE</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0000FF"/>
              </w:rPr>
              <w:t>TRUSTEE</w:t>
            </w:r>
          </w:p>
        </w:tc>
        <w:tc>
          <w:tcPr>
            <w:tcW w:w="4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25"/>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Issuer to Furnish Trustee Information as to Names and Addresses of</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Securityholders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Reports by the Issuer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4.03</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Reports by the Trustee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4.04</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Preservation of Information; Communication with Securityholders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25"/>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5 REMEDIES OF THE TRUSTEE AND SECURITYHOLDERS ON EVENT OF</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0000FF"/>
              </w:rPr>
              <w:t>DEFAULT</w:t>
            </w:r>
          </w:p>
        </w:tc>
        <w:tc>
          <w:tcPr>
            <w:tcW w:w="4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w:t>
            </w:r>
          </w:p>
        </w:tc>
      </w:tr>
      <w:tr>
        <w:trPr>
          <w:trHeight w:val="225"/>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5.01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Event of Default Defined; Acceleration of Maturity; Waiver of</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Default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3" w:name="page64"/>
    <w:bookmarkEnd w:id="63"/>
    <w:tbl>
      <w:tblPr>
        <w:tblLayout w:type="fixed"/>
        <w:tblInd w:w="1340" w:type="dxa"/>
        <w:tblCellMar>
          <w:top w:w="0" w:type="dxa"/>
          <w:left w:w="0" w:type="dxa"/>
          <w:bottom w:w="0" w:type="dxa"/>
          <w:right w:w="0" w:type="dxa"/>
        </w:tblCellMar>
      </w:tblPr>
      <w:tr>
        <w:trPr>
          <w:trHeight w:val="210"/>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Collection of Debt by Trustee; Trustee May Prove Debt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Application of Proceeds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5.04</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Suits for Enforcement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5.05</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Restoration of Rights on Abandonment of Proceedings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5.06</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Limitations on Suits by Securityholders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5.07</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Unconditional Right of Securityholders to Institute Certain Suits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5.08</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Powers and Remedies Cumulative; Delay or Omission Not Waiver</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of 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5.09</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Control by Holders of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5.10</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Waiver of Past Defaults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5.11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 to Give Notice of 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5.12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Right of Court to Require Filing of Undertaking to Pay Costs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6 CONCERNING THE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Duties and Responsibilities of the Trustee; During Default; Prior to</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Certain Rights of the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 Not Responsible for Recitals, Disposition of Securities or</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Application of Proceeds Thereof</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6.04</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 and Agents May Hold Securities; Collections, Etc</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6.05</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Moneys Held by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6.06</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Compensation and Indemnification of Trustee and Its Prior Claim</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6.07</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Right of Trustee to Rely on Officer’s Certificate, Etc</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6.08</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Disqualification; Conflicting Interests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6.09</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Persons Eligible for Appointment as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6.10</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Resignation and Removal; Appointment of Successor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Acceptance of Appointment by Successor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Merger, Conversion, Consolidation or Succession to Business of</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Preferential Collection of Claims Against the Issuer</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7 CONCERNING THE SECURITYHOLDERS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Evidence of Action Taken by Securityholders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Proof of Execution of Instruments and of Holding of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Holders to Be Treated as Owners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7.04</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Securities Owned by Issuer Deemed Not Outstanding</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4" w:name="page65"/>
    <w:bookmarkEnd w:id="64"/>
    <w:tbl>
      <w:tblPr>
        <w:tblLayout w:type="fixed"/>
        <w:tblInd w:w="1340" w:type="dxa"/>
        <w:tblCellMar>
          <w:top w:w="0" w:type="dxa"/>
          <w:left w:w="0" w:type="dxa"/>
          <w:bottom w:w="0" w:type="dxa"/>
          <w:right w:w="0" w:type="dxa"/>
        </w:tblCellMar>
      </w:tblPr>
      <w:tr>
        <w:trPr>
          <w:trHeight w:val="210"/>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Right of Revocation of Action Taken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8 SUPPLEMENTAL INDENTURES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Supplemental Indentures Without Consent of 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Supplemental Indentures With Consent of 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8.03</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Effect of Supplemental Indenture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8.04</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Documents to Be Given to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Notation on Securities in Respect of Supplemental Indentures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9 CONSOLIDATION, MERGER, SALE OR CONVEYANCE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9.01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Issuer May Consolidate, Etc., on Certain Terms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9.02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Successor Issuer Substituted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10 SATISFACTION AND DISCHARGE OF INDENTURE; DEFEASANCE;</w:t>
            </w:r>
          </w:p>
        </w:tc>
        <w:tc>
          <w:tcPr>
            <w:tcW w:w="200" w:type="dxa"/>
            <w:vAlign w:val="bottom"/>
          </w:tcPr>
          <w:p>
            <w:pPr>
              <w:spacing w:after="0"/>
              <w:rPr>
                <w:sz w:val="19"/>
                <w:szCs w:val="19"/>
                <w:color w:val="auto"/>
              </w:rPr>
            </w:pPr>
          </w:p>
        </w:tc>
      </w:tr>
      <w:tr>
        <w:trPr>
          <w:trHeight w:val="210"/>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UNCLAIMED MONEYS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Satisfaction and Discharge of Indenture; Defeasance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Application by Trustee of Funds Deposited for Payment of</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10.03</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Repayment of Moneys Held by Paying Agent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10.04</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Return of Moneys Held by Trustee and Paying Agent Unclaimed</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for Two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Indemnity for U.S. Government Obligations and Foreign</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Government Obligations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11 MISCELLANEOUS PROVISIONS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 Recourse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Provisions of Indenture for the Sole Benefit of Parties and Holders</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11.03</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Successors and Assigns of Issuer Bound by Indenture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11.04</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Notices and Demands on Issuer, Trustee and Holders 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Officer’s Certificates and Opinions of Counsel; Statements to Be</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Contained Therein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11.06</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Payments Due on Saturdays, Sundays and Holidays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11.07</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Conflict of Any Provision of Indenture With Trust Indenture Act of</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1939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11.08</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New York Law to Govern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11.09</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Counterparts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11.10</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Effect of Headings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11.11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Actions by Successor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5" w:name="page66"/>
    <w:bookmarkEnd w:id="65"/>
    <w:tbl>
      <w:tblPr>
        <w:tblLayout w:type="fixed"/>
        <w:tblInd w:w="1340" w:type="dxa"/>
        <w:tblCellMar>
          <w:top w:w="0" w:type="dxa"/>
          <w:left w:w="0" w:type="dxa"/>
          <w:bottom w:w="0" w:type="dxa"/>
          <w:right w:w="0" w:type="dxa"/>
        </w:tblCellMar>
      </w:tblPr>
      <w:tr>
        <w:trPr>
          <w:trHeight w:val="210"/>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11.12</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12 REDEMPTION OF SECURITIES AND SINKING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12.01</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Applicability of Article</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12.02</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Notice of Redemption; Partial Redemptions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12.03</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Payment of Securities Called for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12.04</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Exclusion of Certain Securities from Eligibility for Selection for</w:t>
            </w:r>
          </w:p>
        </w:tc>
        <w:tc>
          <w:tcPr>
            <w:tcW w:w="3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12.05</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Mandatory and Optional Sinking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6" w:name="page67"/>
    <w:bookmarkEnd w:id="66"/>
    <w:p>
      <w:pPr>
        <w:ind w:left="1820"/>
        <w:spacing w:after="0"/>
        <w:rPr>
          <w:sz w:val="20"/>
          <w:szCs w:val="20"/>
          <w:color w:val="auto"/>
        </w:rPr>
      </w:pPr>
      <w:r>
        <w:rPr>
          <w:rFonts w:ascii="Times New Roman" w:cs="Times New Roman" w:eastAsia="Times New Roman" w:hAnsi="Times New Roman"/>
          <w:sz w:val="16"/>
          <w:szCs w:val="16"/>
          <w:color w:val="auto"/>
        </w:rPr>
        <w:t>THIS INDENTURE, dated as of _________ between Xilio Therapeutics, Inc., a</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Delaware corporation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and ________, a _______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 I T N E S S E T H :</w:t>
      </w:r>
    </w:p>
    <w:p>
      <w:pPr>
        <w:spacing w:after="0" w:line="1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WHEREAS, the Issuer may from time to time duly authorize the issue of its unsecured</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debentures, notes or other evidences of indebtedness to be issued in one or more series (the</w:t>
      </w:r>
    </w:p>
    <w:p>
      <w:pPr>
        <w:ind w:left="134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up to such principal amount or amounts as may from time to time be authorized in</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accordance with the terms of this Indenture;</w:t>
      </w:r>
    </w:p>
    <w:p>
      <w:pPr>
        <w:spacing w:after="0" w:line="142" w:lineRule="exact"/>
        <w:rPr>
          <w:sz w:val="20"/>
          <w:szCs w:val="20"/>
          <w:color w:val="auto"/>
        </w:rPr>
      </w:pPr>
    </w:p>
    <w:p>
      <w:pPr>
        <w:jc w:val="both"/>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WHEREAS, the Issuer has duly authorized the execution and delivery of this Indenture to provide, among other things, for the authentication, delivery and administration of the Securities; and</w:t>
      </w:r>
    </w:p>
    <w:p>
      <w:pPr>
        <w:spacing w:after="0" w:line="123" w:lineRule="exact"/>
        <w:rPr>
          <w:sz w:val="20"/>
          <w:szCs w:val="20"/>
          <w:color w:val="auto"/>
        </w:rPr>
      </w:pPr>
    </w:p>
    <w:p>
      <w:pPr>
        <w:ind w:left="1340" w:right="1439" w:firstLine="486"/>
        <w:spacing w:after="0" w:line="272" w:lineRule="auto"/>
        <w:rPr>
          <w:sz w:val="20"/>
          <w:szCs w:val="20"/>
          <w:color w:val="auto"/>
        </w:rPr>
      </w:pPr>
      <w:r>
        <w:rPr>
          <w:rFonts w:ascii="Times New Roman" w:cs="Times New Roman" w:eastAsia="Times New Roman" w:hAnsi="Times New Roman"/>
          <w:sz w:val="16"/>
          <w:szCs w:val="16"/>
          <w:color w:val="auto"/>
        </w:rPr>
        <w:t>WHEREAS, all things necessary to make this Indenture a valid indenture and agreement according to its terms have been done;</w:t>
      </w:r>
    </w:p>
    <w:p>
      <w:pPr>
        <w:spacing w:after="0" w:line="11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NOW, THEREFORE:</w:t>
      </w:r>
    </w:p>
    <w:p>
      <w:pPr>
        <w:spacing w:after="0" w:line="160" w:lineRule="exact"/>
        <w:rPr>
          <w:sz w:val="20"/>
          <w:szCs w:val="20"/>
          <w:color w:val="auto"/>
        </w:rPr>
      </w:pPr>
    </w:p>
    <w:p>
      <w:pPr>
        <w:ind w:left="1340" w:right="1519" w:firstLine="486"/>
        <w:spacing w:after="0" w:line="255" w:lineRule="auto"/>
        <w:rPr>
          <w:sz w:val="20"/>
          <w:szCs w:val="20"/>
          <w:color w:val="auto"/>
        </w:rPr>
      </w:pPr>
      <w:r>
        <w:rPr>
          <w:rFonts w:ascii="Times New Roman" w:cs="Times New Roman" w:eastAsia="Times New Roman" w:hAnsi="Times New Roman"/>
          <w:sz w:val="16"/>
          <w:szCs w:val="16"/>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1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ARTICLE 1</w:t>
      </w:r>
    </w:p>
    <w:p>
      <w:pPr>
        <w:spacing w:after="0" w:line="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DEFINITIONS</w:t>
      </w:r>
    </w:p>
    <w:p>
      <w:pPr>
        <w:spacing w:after="0" w:line="140"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Certain Terms Defined.</w:t>
      </w:r>
      <w:r>
        <w:rPr>
          <w:rFonts w:ascii="Times New Roman" w:cs="Times New Roman" w:eastAsia="Times New Roman" w:hAnsi="Times New Roman"/>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 w:cs="Times New Roman" w:eastAsia="Times New Roman" w:hAnsi="Times New Roman"/>
          <w:sz w:val="16"/>
          <w:szCs w:val="16"/>
          <w:b w:val="1"/>
          <w:bCs w:val="1"/>
          <w:color w:val="auto"/>
        </w:rPr>
        <w:t>generally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accepted accounting principles</w:t>
      </w:r>
      <w:r>
        <w:rPr>
          <w:rFonts w:ascii="Times New Roman" w:cs="Times New Roman" w:eastAsia="Times New Roman" w:hAnsi="Times New Roman"/>
          <w:sz w:val="16"/>
          <w:szCs w:val="16"/>
          <w:color w:val="auto"/>
        </w:rPr>
        <w:t>” means such accounting principles as are generally accepted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36"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“Additional Amounts” </w:t>
      </w:r>
      <w:r>
        <w:rPr>
          <w:rFonts w:ascii="Times New Roman" w:cs="Times New Roman" w:eastAsia="Times New Roman" w:hAnsi="Times New Roman"/>
          <w:sz w:val="16"/>
          <w:szCs w:val="16"/>
          <w:color w:val="auto"/>
        </w:rPr>
        <w:t>means any additional amounts that are required by this Indenture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by any Security, under circumstances specified herein or therein, to be paid by the Issuer in respect of certain taxes, assessments or other governmental charges imposed on Holders specified therein and which are owing to such Holders.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7" w:name="page68"/>
    <w:bookmarkEnd w:id="67"/>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Procedures</w:t>
      </w:r>
      <w:r>
        <w:rPr>
          <w:rFonts w:ascii="Times New Roman" w:cs="Times New Roman" w:eastAsia="Times New Roman" w:hAnsi="Times New Roman"/>
          <w:sz w:val="16"/>
          <w:szCs w:val="16"/>
          <w:color w:val="auto"/>
        </w:rPr>
        <w:t>” means, with respect to a Depositary, as to any matter at any time, the policies and procedures of such Depositary, if any, that are applicable to such matter at such time.</w:t>
      </w:r>
    </w:p>
    <w:p>
      <w:pPr>
        <w:spacing w:after="0" w:line="120"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either the Board of Directors of the Issuer or any committee of such Board duly authorized to act on its behalf.</w:t>
      </w:r>
    </w:p>
    <w:p>
      <w:pPr>
        <w:spacing w:after="0" w:line="107" w:lineRule="exact"/>
        <w:rPr>
          <w:sz w:val="20"/>
          <w:szCs w:val="20"/>
          <w:color w:val="auto"/>
        </w:rPr>
      </w:pPr>
    </w:p>
    <w:p>
      <w:pPr>
        <w:jc w:val="both"/>
        <w:ind w:left="1340" w:right="14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left="1340" w:right="1539" w:firstLine="4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25"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“Capital Stock” </w:t>
      </w:r>
      <w:r>
        <w:rPr>
          <w:rFonts w:ascii="Times New Roman" w:cs="Times New Roman" w:eastAsia="Times New Roman" w:hAnsi="Times New Roman"/>
          <w:sz w:val="16"/>
          <w:szCs w:val="16"/>
          <w:color w:val="auto"/>
        </w:rPr>
        <w:t>means (a) in the case of a corporation, corporate stock; (b) in the case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w:t>
      </w:r>
    </w:p>
    <w:p>
      <w:pPr>
        <w:spacing w:after="0" w:line="1" w:lineRule="exact"/>
        <w:rPr>
          <w:sz w:val="20"/>
          <w:szCs w:val="20"/>
          <w:color w:val="auto"/>
        </w:rPr>
      </w:pPr>
    </w:p>
    <w:p>
      <w:pPr>
        <w:ind w:left="1340" w:right="1519" w:firstLine="3"/>
        <w:spacing w:after="0" w:line="241" w:lineRule="auto"/>
        <w:tabs>
          <w:tab w:leader="none" w:pos="156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left="1340" w:right="149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27" w:lineRule="exact"/>
        <w:rPr>
          <w:sz w:val="20"/>
          <w:szCs w:val="20"/>
          <w:color w:val="auto"/>
        </w:rPr>
      </w:pPr>
    </w:p>
    <w:p>
      <w:pPr>
        <w:jc w:val="both"/>
        <w:ind w:left="1340" w:right="149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shares of common stock, par value $0.0001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20"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w:t>
      </w:r>
      <w:r>
        <w:rPr>
          <w:rFonts w:ascii="Times New Roman" w:cs="Times New Roman" w:eastAsia="Times New Roman" w:hAnsi="Times New Roman"/>
          <w:sz w:val="16"/>
          <w:szCs w:val="16"/>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8" w:name="page69"/>
    <w:bookmarkEnd w:id="68"/>
    <w:p>
      <w:pPr>
        <w:ind w:left="1340" w:right="1639"/>
        <w:spacing w:after="0" w:line="272" w:lineRule="auto"/>
        <w:rPr>
          <w:sz w:val="20"/>
          <w:szCs w:val="20"/>
          <w:color w:val="auto"/>
        </w:rPr>
      </w:pPr>
      <w:r>
        <w:rPr>
          <w:rFonts w:ascii="Times New Roman" w:cs="Times New Roman" w:eastAsia="Times New Roman" w:hAnsi="Times New Roman"/>
          <w:sz w:val="16"/>
          <w:szCs w:val="16"/>
          <w:color w:val="auto"/>
        </w:rPr>
        <w:t>excluded the money, securities or evidences of Debt deposited by such Person in trust for the purpose of paying or satisfying such Debt.</w:t>
      </w:r>
    </w:p>
    <w:p>
      <w:pPr>
        <w:spacing w:after="0" w:line="108"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shall mean or include each Person who is then a Depositary hereunder, and if at any time there is more than one such Person,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as used with respect to the Securities of any such series shall mean the Depositary with respect to the Global Securities of that series.</w:t>
      </w:r>
    </w:p>
    <w:p>
      <w:pPr>
        <w:spacing w:after="0" w:line="129"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Dollar</w:t>
      </w:r>
      <w:r>
        <w:rPr>
          <w:rFonts w:ascii="Times New Roman" w:cs="Times New Roman" w:eastAsia="Times New Roman" w:hAnsi="Times New Roman"/>
          <w:sz w:val="16"/>
          <w:szCs w:val="16"/>
          <w:color w:val="auto"/>
        </w:rPr>
        <w:t>” means the currency of the United States of America as at the time of payment is legal tender for the payment of public and private debts.</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means any event or condition specified as such in Section 5.01.</w:t>
      </w:r>
    </w:p>
    <w:p>
      <w:pPr>
        <w:spacing w:after="0" w:line="160"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Currency</w:t>
      </w:r>
      <w:r>
        <w:rPr>
          <w:rFonts w:ascii="Times New Roman" w:cs="Times New Roman" w:eastAsia="Times New Roman" w:hAnsi="Times New Roman"/>
          <w:sz w:val="16"/>
          <w:szCs w:val="16"/>
          <w:color w:val="auto"/>
        </w:rPr>
        <w:t>” means a currency issued by the government of a country other than the United States.</w:t>
      </w:r>
    </w:p>
    <w:p>
      <w:pPr>
        <w:spacing w:after="0" w:line="107"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b w:val="1"/>
          <w:bCs w:val="1"/>
          <w:color w:val="auto"/>
        </w:rPr>
        <w:t xml:space="preserve">“Foreign Government Obligation” </w:t>
      </w:r>
      <w:r>
        <w:rPr>
          <w:rFonts w:ascii="Times New Roman" w:cs="Times New Roman" w:eastAsia="Times New Roman" w:hAnsi="Times New Roman"/>
          <w:sz w:val="16"/>
          <w:szCs w:val="16"/>
          <w:color w:val="auto"/>
        </w:rPr>
        <w:t>means (a) a direct obligation of the government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41"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Security</w:t>
      </w:r>
      <w:r>
        <w:rPr>
          <w:rFonts w:ascii="Times New Roman" w:cs="Times New Roman" w:eastAsia="Times New Roman" w:hAnsi="Times New Roman"/>
          <w:sz w:val="16"/>
          <w:szCs w:val="16"/>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jc w:val="both"/>
        <w:ind w:left="1340" w:right="15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holder of Securities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Securityholder</w:t>
      </w:r>
      <w:r>
        <w:rPr>
          <w:rFonts w:ascii="Times New Roman" w:cs="Times New Roman" w:eastAsia="Times New Roman" w:hAnsi="Times New Roman"/>
          <w:sz w:val="16"/>
          <w:szCs w:val="16"/>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jc w:val="both"/>
        <w:ind w:left="1340" w:right="15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20" w:lineRule="exact"/>
        <w:rPr>
          <w:sz w:val="20"/>
          <w:szCs w:val="20"/>
          <w:color w:val="auto"/>
        </w:rPr>
      </w:pPr>
    </w:p>
    <w:p>
      <w:pPr>
        <w:jc w:val="both"/>
        <w:ind w:left="1340" w:right="15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unless the context otherwise requires, refers to interest, and when used with respect to non-interest bearing Securities, refers to interest payable after maturity, if 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9" w:name="page70"/>
    <w:bookmarkEnd w:id="69"/>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with respect to any Security, means the Stated Maturity of an installment of interest on such Security.</w:t>
      </w:r>
    </w:p>
    <w:p>
      <w:pPr>
        <w:spacing w:after="0" w:line="107"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means Xilio Therapeutics, Inc., a Delaware corporation, and, subject to Article 9, its successors and assigns.</w:t>
      </w:r>
    </w:p>
    <w:p>
      <w:pPr>
        <w:spacing w:after="0" w:line="107"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 Order</w:t>
      </w:r>
      <w:r>
        <w:rPr>
          <w:rFonts w:ascii="Times New Roman" w:cs="Times New Roman" w:eastAsia="Times New Roman" w:hAnsi="Times New Roman"/>
          <w:sz w:val="16"/>
          <w:szCs w:val="16"/>
          <w:color w:val="auto"/>
        </w:rPr>
        <w:t>” means a written statement, request or order of the Issuer signed in its name by the chairman of the Board of Directors, the president or any vice president of the Issuer.</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“Notice of Default” </w:t>
      </w:r>
      <w:r>
        <w:rPr>
          <w:rFonts w:ascii="Times New Roman" w:cs="Times New Roman" w:eastAsia="Times New Roman" w:hAnsi="Times New Roman"/>
          <w:sz w:val="16"/>
          <w:szCs w:val="16"/>
          <w:color w:val="auto"/>
        </w:rPr>
        <w:t>shall have the meaning set forth in Section 5.01(c).</w:t>
      </w:r>
    </w:p>
    <w:p>
      <w:pPr>
        <w:spacing w:after="0" w:line="160"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Officer’s Certificate</w:t>
      </w:r>
      <w:r>
        <w:rPr>
          <w:rFonts w:ascii="Times New Roman" w:cs="Times New Roman" w:eastAsia="Times New Roman" w:hAnsi="Times New Roman"/>
          <w:sz w:val="16"/>
          <w:szCs w:val="16"/>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27"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27"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date</w:t>
      </w:r>
      <w:r>
        <w:rPr>
          <w:rFonts w:ascii="Times New Roman" w:cs="Times New Roman" w:eastAsia="Times New Roman" w:hAnsi="Times New Roman"/>
          <w:sz w:val="16"/>
          <w:szCs w:val="16"/>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jc w:val="both"/>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Discount Security</w:t>
      </w:r>
      <w:r>
        <w:rPr>
          <w:rFonts w:ascii="Times New Roman" w:cs="Times New Roman" w:eastAsia="Times New Roman" w:hAnsi="Times New Roman"/>
          <w:sz w:val="16"/>
          <w:szCs w:val="16"/>
          <w:color w:val="auto"/>
        </w:rPr>
        <w:t>” means any Security that provides for an amount less than the principal amount thereof to be due and payable upon a declaration of acceleration of the maturity thereof pursuant to Section 5.01.</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when used with reference to Securities, shall, subject to the provisions of Section 7.04, mean, as of any particular time, all Securities authenticated and delivered by the Trustee under this Indenture, except</w:t>
      </w:r>
    </w:p>
    <w:p>
      <w:pPr>
        <w:spacing w:after="0" w:line="122" w:lineRule="exact"/>
        <w:rPr>
          <w:sz w:val="20"/>
          <w:szCs w:val="20"/>
          <w:color w:val="auto"/>
        </w:rPr>
      </w:pPr>
    </w:p>
    <w:p>
      <w:pPr>
        <w:ind w:left="2320"/>
        <w:spacing w:after="0"/>
        <w:tabs>
          <w:tab w:leader="none" w:pos="2620" w:val="left"/>
        </w:tabs>
        <w:rPr>
          <w:sz w:val="20"/>
          <w:szCs w:val="20"/>
          <w:color w:val="auto"/>
        </w:rPr>
      </w:pPr>
      <w:r>
        <w:rPr>
          <w:rFonts w:ascii="Times New Roman" w:cs="Times New Roman" w:eastAsia="Times New Roman" w:hAnsi="Times New Roman"/>
          <w:sz w:val="16"/>
          <w:szCs w:val="16"/>
          <w:color w:val="auto"/>
        </w:rPr>
        <w:t>(a)</w:t>
        <w:tab/>
        <w:t>Securities theretofore cancelled by the Trustee or delivered to the Trustee for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cancellation;</w:t>
      </w:r>
    </w:p>
    <w:p>
      <w:pPr>
        <w:spacing w:after="0" w:line="142" w:lineRule="exact"/>
        <w:rPr>
          <w:sz w:val="20"/>
          <w:szCs w:val="20"/>
          <w:color w:val="auto"/>
        </w:rPr>
      </w:pPr>
    </w:p>
    <w:p>
      <w:pPr>
        <w:ind w:left="1340" w:right="1399" w:firstLine="976"/>
        <w:spacing w:after="0" w:line="249" w:lineRule="auto"/>
        <w:tabs>
          <w:tab w:leader="none" w:pos="263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or portions thereof, for the payment or redemption of which cash, U.S. Government Obligations or Foreign Government Obligations (as provided for in Section</w:t>
      </w:r>
    </w:p>
    <w:p>
      <w:pPr>
        <w:ind w:left="1340" w:right="135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200" w:lineRule="exact"/>
        <w:rPr>
          <w:rFonts w:ascii="Times New Roman" w:cs="Times New Roman" w:eastAsia="Times New Roman" w:hAnsi="Times New Roman"/>
          <w:sz w:val="16"/>
          <w:szCs w:val="16"/>
          <w:color w:val="auto"/>
        </w:rPr>
      </w:pPr>
    </w:p>
    <w:p>
      <w:pPr>
        <w:spacing w:after="0" w:line="238" w:lineRule="exact"/>
        <w:rPr>
          <w:rFonts w:ascii="Times New Roman" w:cs="Times New Roman" w:eastAsia="Times New Roman" w:hAnsi="Times New Roman"/>
          <w:sz w:val="16"/>
          <w:szCs w:val="16"/>
          <w:color w:val="auto"/>
        </w:rPr>
      </w:pPr>
    </w:p>
    <w:p>
      <w:pPr>
        <w:ind w:left="4460" w:hanging="91"/>
        <w:spacing w:after="0"/>
        <w:tabs>
          <w:tab w:leader="none" w:pos="44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70" w:name="page71"/>
    <w:bookmarkEnd w:id="70"/>
    <w:p>
      <w:pPr>
        <w:ind w:left="2640" w:hanging="324"/>
        <w:spacing w:after="0"/>
        <w:tabs>
          <w:tab w:leader="none" w:pos="26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Legal Defeasance shall have been effected pursuant to</w:t>
      </w:r>
    </w:p>
    <w:p>
      <w:pPr>
        <w:spacing w:after="0" w:line="16"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10.01(b);</w:t>
      </w:r>
    </w:p>
    <w:p>
      <w:pPr>
        <w:spacing w:after="0" w:line="142" w:lineRule="exact"/>
        <w:rPr>
          <w:rFonts w:ascii="Times New Roman" w:cs="Times New Roman" w:eastAsia="Times New Roman" w:hAnsi="Times New Roman"/>
          <w:sz w:val="16"/>
          <w:szCs w:val="16"/>
          <w:color w:val="auto"/>
        </w:rPr>
      </w:pPr>
    </w:p>
    <w:p>
      <w:pPr>
        <w:ind w:left="1340" w:right="1419" w:firstLine="976"/>
        <w:spacing w:after="0" w:line="244" w:lineRule="auto"/>
        <w:tabs>
          <w:tab w:leader="none" w:pos="263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33" w:lineRule="exact"/>
        <w:rPr>
          <w:rFonts w:ascii="Times New Roman" w:cs="Times New Roman" w:eastAsia="Times New Roman" w:hAnsi="Times New Roman"/>
          <w:sz w:val="16"/>
          <w:szCs w:val="16"/>
          <w:color w:val="auto"/>
        </w:rPr>
      </w:pPr>
    </w:p>
    <w:p>
      <w:pPr>
        <w:ind w:left="1340" w:right="1459" w:firstLine="976"/>
        <w:spacing w:after="0" w:line="249" w:lineRule="auto"/>
        <w:tabs>
          <w:tab w:leader="none" w:pos="263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37" w:lineRule="exact"/>
        <w:rPr>
          <w:sz w:val="20"/>
          <w:szCs w:val="20"/>
          <w:color w:val="auto"/>
        </w:rPr>
      </w:pPr>
    </w:p>
    <w:p>
      <w:pPr>
        <w:ind w:left="1340" w:right="16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w:t>
      </w:r>
      <w:r>
        <w:rPr>
          <w:rFonts w:ascii="Times New Roman" w:cs="Times New Roman" w:eastAsia="Times New Roman" w:hAnsi="Times New Roman"/>
          <w:sz w:val="16"/>
          <w:szCs w:val="16"/>
          <w:color w:val="auto"/>
        </w:rPr>
        <w:t>” whenever used with reference to the Securities or any Security or any portion thereof, shall be deemed to include “and premium, if any”.</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“record date” </w:t>
      </w:r>
      <w:r>
        <w:rPr>
          <w:rFonts w:ascii="Times New Roman" w:cs="Times New Roman" w:eastAsia="Times New Roman" w:hAnsi="Times New Roman"/>
          <w:sz w:val="16"/>
          <w:szCs w:val="16"/>
          <w:color w:val="auto"/>
        </w:rPr>
        <w:t>shall have the meaning set forth in Section 2.07.</w:t>
      </w:r>
    </w:p>
    <w:p>
      <w:pPr>
        <w:spacing w:after="0" w:line="160"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1" w:name="page72"/>
    <w:bookmarkEnd w:id="71"/>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be such officers, respectively, or to whom any corporate trust matter is referred because of his or her knowledge of and familiarity with the particular subject.</w:t>
      </w:r>
    </w:p>
    <w:p>
      <w:pPr>
        <w:spacing w:after="0" w:line="108"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has the meaning stated in the first recital of this Indenture, or, as the case may be, Securities that have been authenticated and delivered under this Indenture.</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shall have the meaning set forth in Section 4.01(b).</w:t>
      </w:r>
    </w:p>
    <w:p>
      <w:pPr>
        <w:spacing w:after="0" w:line="160"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Maturity</w:t>
      </w:r>
      <w:r>
        <w:rPr>
          <w:rFonts w:ascii="Times New Roman" w:cs="Times New Roman" w:eastAsia="Times New Roman" w:hAnsi="Times New Roman"/>
          <w:sz w:val="16"/>
          <w:szCs w:val="16"/>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27"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34"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 of 1939</w:t>
      </w:r>
      <w:r>
        <w:rPr>
          <w:rFonts w:ascii="Times New Roman" w:cs="Times New Roman" w:eastAsia="Times New Roman" w:hAnsi="Times New Roman"/>
          <w:sz w:val="16"/>
          <w:szCs w:val="16"/>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ind w:left="1340" w:right="137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identified as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hereof and, subject to the provisions of Article 6, shall also include any successor trustee.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also mean or include each Person who is then a trustee hereunder and if at any time there is more than one such Person,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used with respect to the Securities of any series shall mean the trustee with respect to the Securities of such series.</w:t>
      </w:r>
    </w:p>
    <w:p>
      <w:pPr>
        <w:spacing w:after="0" w:line="127" w:lineRule="exact"/>
        <w:rPr>
          <w:sz w:val="20"/>
          <w:szCs w:val="20"/>
          <w:color w:val="auto"/>
        </w:rPr>
      </w:pPr>
    </w:p>
    <w:p>
      <w:pPr>
        <w:ind w:left="1340" w:right="161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 Government Obligation</w:t>
      </w:r>
      <w:r>
        <w:rPr>
          <w:rFonts w:ascii="Times New Roman" w:cs="Times New Roman" w:eastAsia="Times New Roman" w:hAnsi="Times New Roman"/>
          <w:sz w:val="16"/>
          <w:szCs w:val="16"/>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27" w:lineRule="exact"/>
        <w:rPr>
          <w:sz w:val="20"/>
          <w:szCs w:val="20"/>
          <w:color w:val="auto"/>
        </w:rPr>
      </w:pPr>
    </w:p>
    <w:p>
      <w:pPr>
        <w:jc w:val="both"/>
        <w:ind w:left="1340" w:right="15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vice president</w:t>
      </w:r>
      <w:r>
        <w:rPr>
          <w:rFonts w:ascii="Times New Roman" w:cs="Times New Roman" w:eastAsia="Times New Roman" w:hAnsi="Times New Roman"/>
          <w:sz w:val="16"/>
          <w:szCs w:val="16"/>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Yield to Maturity</w:t>
      </w:r>
      <w:r>
        <w:rPr>
          <w:rFonts w:ascii="Times New Roman" w:cs="Times New Roman" w:eastAsia="Times New Roman" w:hAnsi="Times New Roman"/>
          <w:sz w:val="16"/>
          <w:szCs w:val="16"/>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2" w:name="page73"/>
    <w:bookmarkEnd w:id="72"/>
    <w:p>
      <w:pPr>
        <w:ind w:left="4100"/>
        <w:spacing w:after="0"/>
        <w:rPr>
          <w:sz w:val="20"/>
          <w:szCs w:val="20"/>
          <w:color w:val="auto"/>
        </w:rPr>
      </w:pPr>
      <w:r>
        <w:rPr>
          <w:rFonts w:ascii="Times New Roman" w:cs="Times New Roman" w:eastAsia="Times New Roman" w:hAnsi="Times New Roman"/>
          <w:sz w:val="16"/>
          <w:szCs w:val="16"/>
          <w:color w:val="auto"/>
        </w:rPr>
        <w:t>ARTICLE 2</w:t>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w:t>
      </w:r>
    </w:p>
    <w:p>
      <w:pPr>
        <w:spacing w:after="0" w:line="140" w:lineRule="exact"/>
        <w:rPr>
          <w:sz w:val="20"/>
          <w:szCs w:val="20"/>
          <w:color w:val="auto"/>
        </w:rPr>
      </w:pPr>
    </w:p>
    <w:p>
      <w:pPr>
        <w:ind w:left="1340" w:right="141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Forms Generally.</w:t>
      </w:r>
      <w:r>
        <w:rPr>
          <w:rFonts w:ascii="Times New Roman" w:cs="Times New Roman" w:eastAsia="Times New Roman" w:hAnsi="Times New Roman"/>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38" w:lineRule="exact"/>
        <w:rPr>
          <w:sz w:val="20"/>
          <w:szCs w:val="20"/>
          <w:color w:val="auto"/>
        </w:rPr>
      </w:pPr>
    </w:p>
    <w:p>
      <w:pPr>
        <w:jc w:val="both"/>
        <w:ind w:left="1340" w:right="1679" w:firstLine="486"/>
        <w:spacing w:after="0" w:line="255" w:lineRule="auto"/>
        <w:rPr>
          <w:sz w:val="20"/>
          <w:szCs w:val="20"/>
          <w:color w:val="auto"/>
        </w:rPr>
      </w:pPr>
      <w:r>
        <w:rPr>
          <w:rFonts w:ascii="Times New Roman" w:cs="Times New Roman" w:eastAsia="Times New Roman" w:hAnsi="Times New Roman"/>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21" w:lineRule="exact"/>
        <w:rPr>
          <w:sz w:val="20"/>
          <w:szCs w:val="20"/>
          <w:color w:val="auto"/>
        </w:rPr>
      </w:pPr>
    </w:p>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Trustee’s Certificate of Authentication.</w:t>
      </w:r>
      <w:r>
        <w:rPr>
          <w:rFonts w:ascii="Times New Roman" w:cs="Times New Roman" w:eastAsia="Times New Roman" w:hAnsi="Times New Roman"/>
          <w:sz w:val="16"/>
          <w:szCs w:val="16"/>
          <w:color w:val="auto"/>
        </w:rPr>
        <w:t xml:space="preserve"> The Trustee’s certificate of authentication on all Securities shall be in substantially the following form:</w:t>
      </w:r>
    </w:p>
    <w:p>
      <w:pPr>
        <w:spacing w:after="0" w:line="109" w:lineRule="exact"/>
        <w:rPr>
          <w:sz w:val="20"/>
          <w:szCs w:val="20"/>
          <w:color w:val="auto"/>
        </w:rPr>
      </w:pPr>
    </w:p>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179070</wp:posOffset>
            </wp:positionV>
            <wp:extent cx="20574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spacing w:after="0" w:line="2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Trustee</w:t>
      </w:r>
    </w:p>
    <w:p>
      <w:pPr>
        <w:spacing w:after="0" w:line="3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-6350</wp:posOffset>
            </wp:positionV>
            <wp:extent cx="20574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40" w:lineRule="exact"/>
        <w:rPr>
          <w:sz w:val="20"/>
          <w:szCs w:val="20"/>
          <w:color w:val="auto"/>
        </w:rPr>
      </w:pPr>
    </w:p>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Amount Unlimited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Issuable in Series.</w:t>
      </w:r>
      <w:r>
        <w:rPr>
          <w:rFonts w:ascii="Times New Roman" w:cs="Times New Roman" w:eastAsia="Times New Roman" w:hAnsi="Times New Roman"/>
          <w:sz w:val="16"/>
          <w:szCs w:val="16"/>
          <w:color w:val="auto"/>
        </w:rPr>
        <w:t xml:space="preserve"> The aggregate principal amount of Securities which may be authenticated and delivered under this Indenture is unlimited.</w:t>
      </w:r>
    </w:p>
    <w:p>
      <w:pPr>
        <w:spacing w:after="0" w:line="109"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35" w:lineRule="exact"/>
        <w:rPr>
          <w:sz w:val="20"/>
          <w:szCs w:val="20"/>
          <w:color w:val="auto"/>
        </w:rPr>
      </w:pPr>
    </w:p>
    <w:p>
      <w:pPr>
        <w:ind w:left="1340" w:right="1479" w:firstLine="976"/>
        <w:spacing w:after="0" w:line="272"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Securities of the series (which may be part of a series of Securities previously issued);</w:t>
      </w:r>
    </w:p>
    <w:p>
      <w:pPr>
        <w:spacing w:after="0" w:line="200" w:lineRule="exact"/>
        <w:rPr>
          <w:rFonts w:ascii="Times New Roman" w:cs="Times New Roman" w:eastAsia="Times New Roman" w:hAnsi="Times New Roman"/>
          <w:sz w:val="16"/>
          <w:szCs w:val="16"/>
          <w:color w:val="auto"/>
        </w:rPr>
      </w:pPr>
    </w:p>
    <w:p>
      <w:pPr>
        <w:spacing w:after="0" w:line="213" w:lineRule="exact"/>
        <w:rPr>
          <w:rFonts w:ascii="Times New Roman" w:cs="Times New Roman" w:eastAsia="Times New Roman" w:hAnsi="Times New Roman"/>
          <w:sz w:val="16"/>
          <w:szCs w:val="16"/>
          <w:color w:val="auto"/>
        </w:rPr>
      </w:pPr>
    </w:p>
    <w:p>
      <w:pPr>
        <w:ind w:left="4460" w:hanging="91"/>
        <w:spacing w:after="0"/>
        <w:tabs>
          <w:tab w:leader="none" w:pos="44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3" w:name="page74"/>
    <w:bookmarkEnd w:id="73"/>
    <w:p>
      <w:pPr>
        <w:jc w:val="both"/>
        <w:ind w:left="1340" w:right="1399" w:firstLine="976"/>
        <w:spacing w:after="0" w:line="249"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27" w:lineRule="exact"/>
        <w:rPr>
          <w:rFonts w:ascii="Times New Roman" w:cs="Times New Roman" w:eastAsia="Times New Roman" w:hAnsi="Times New Roman"/>
          <w:sz w:val="16"/>
          <w:szCs w:val="16"/>
          <w:color w:val="auto"/>
        </w:rPr>
      </w:pPr>
    </w:p>
    <w:p>
      <w:pPr>
        <w:ind w:left="1340" w:right="1459" w:firstLine="976"/>
        <w:spacing w:after="0" w:line="255"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or dates on which the principal of the Securities of the series is payable or the method used to determine those dates and the right, if any, to extend such date or dates;</w:t>
      </w:r>
    </w:p>
    <w:p>
      <w:pPr>
        <w:spacing w:after="0" w:line="122" w:lineRule="exact"/>
        <w:rPr>
          <w:rFonts w:ascii="Times New Roman" w:cs="Times New Roman" w:eastAsia="Times New Roman" w:hAnsi="Times New Roman"/>
          <w:sz w:val="16"/>
          <w:szCs w:val="16"/>
          <w:color w:val="auto"/>
        </w:rPr>
      </w:pPr>
    </w:p>
    <w:p>
      <w:pPr>
        <w:ind w:left="1340" w:right="1399" w:firstLine="976"/>
        <w:spacing w:after="0" w:line="243"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34" w:lineRule="exact"/>
        <w:rPr>
          <w:rFonts w:ascii="Times New Roman" w:cs="Times New Roman" w:eastAsia="Times New Roman" w:hAnsi="Times New Roman"/>
          <w:sz w:val="16"/>
          <w:szCs w:val="16"/>
          <w:color w:val="auto"/>
        </w:rPr>
      </w:pPr>
    </w:p>
    <w:p>
      <w:pPr>
        <w:ind w:left="1340" w:right="1579" w:firstLine="976"/>
        <w:spacing w:after="0" w:line="272"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where the principal of and any interest on Securities of the series shall be payable (if other than as provided in Section 3.02);</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46"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130" w:lineRule="exact"/>
        <w:rPr>
          <w:rFonts w:ascii="Times New Roman" w:cs="Times New Roman" w:eastAsia="Times New Roman" w:hAnsi="Times New Roman"/>
          <w:sz w:val="16"/>
          <w:szCs w:val="16"/>
          <w:color w:val="auto"/>
        </w:rPr>
      </w:pPr>
    </w:p>
    <w:p>
      <w:pPr>
        <w:ind w:left="1340" w:right="1439" w:firstLine="976"/>
        <w:spacing w:after="0" w:line="272"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denominations of $2,000 and any integral multiple of $1,000 in excess thereof, the denominations in which Securities of the series shall be issuable;</w:t>
      </w:r>
    </w:p>
    <w:p>
      <w:pPr>
        <w:spacing w:after="0" w:line="109" w:lineRule="exact"/>
        <w:rPr>
          <w:rFonts w:ascii="Times New Roman" w:cs="Times New Roman" w:eastAsia="Times New Roman" w:hAnsi="Times New Roman"/>
          <w:sz w:val="16"/>
          <w:szCs w:val="16"/>
          <w:color w:val="auto"/>
        </w:rPr>
      </w:pPr>
    </w:p>
    <w:p>
      <w:pPr>
        <w:jc w:val="both"/>
        <w:ind w:left="1340" w:right="1359" w:firstLine="976"/>
        <w:spacing w:after="0" w:line="255"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principal amount thereof, the portion of the principal amount of Securities of the series which shall be payable upon declaration of acceleration of the maturity thereof;</w:t>
      </w:r>
    </w:p>
    <w:p>
      <w:pPr>
        <w:spacing w:after="0" w:line="122"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Dollars, the currency, currencies or currency units in which the Securities of the series are denominated;</w:t>
      </w:r>
    </w:p>
    <w:p>
      <w:pPr>
        <w:spacing w:after="0" w:line="109" w:lineRule="exact"/>
        <w:rPr>
          <w:rFonts w:ascii="Times New Roman" w:cs="Times New Roman" w:eastAsia="Times New Roman" w:hAnsi="Times New Roman"/>
          <w:sz w:val="16"/>
          <w:szCs w:val="16"/>
          <w:color w:val="auto"/>
        </w:rPr>
      </w:pPr>
    </w:p>
    <w:p>
      <w:pPr>
        <w:ind w:left="1340" w:right="1559" w:firstLine="976"/>
        <w:spacing w:after="0" w:line="255"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currency in which the Securities of the series are denominated, the currency in which payment of the principal of or interest on the Securities of such series shall be payable;</w:t>
      </w:r>
    </w:p>
    <w:p>
      <w:pPr>
        <w:spacing w:after="0" w:line="122" w:lineRule="exact"/>
        <w:rPr>
          <w:rFonts w:ascii="Times New Roman" w:cs="Times New Roman" w:eastAsia="Times New Roman" w:hAnsi="Times New Roman"/>
          <w:sz w:val="16"/>
          <w:szCs w:val="16"/>
          <w:color w:val="auto"/>
        </w:rPr>
      </w:pPr>
    </w:p>
    <w:p>
      <w:pPr>
        <w:jc w:val="both"/>
        <w:ind w:left="1340" w:right="1359" w:firstLine="976"/>
        <w:spacing w:after="0" w:line="249"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55"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w:t>
      </w:r>
    </w:p>
    <w:p>
      <w:pPr>
        <w:spacing w:after="0" w:line="200" w:lineRule="exact"/>
        <w:rPr>
          <w:rFonts w:ascii="Times New Roman" w:cs="Times New Roman" w:eastAsia="Times New Roman" w:hAnsi="Times New Roman"/>
          <w:sz w:val="16"/>
          <w:szCs w:val="16"/>
          <w:color w:val="auto"/>
        </w:rPr>
      </w:pPr>
    </w:p>
    <w:p>
      <w:pPr>
        <w:spacing w:after="0" w:line="226" w:lineRule="exact"/>
        <w:rPr>
          <w:rFonts w:ascii="Times New Roman" w:cs="Times New Roman" w:eastAsia="Times New Roman" w:hAnsi="Times New Roman"/>
          <w:sz w:val="16"/>
          <w:szCs w:val="16"/>
          <w:color w:val="auto"/>
        </w:rPr>
      </w:pPr>
    </w:p>
    <w:p>
      <w:pPr>
        <w:ind w:left="4460" w:hanging="91"/>
        <w:spacing w:after="0"/>
        <w:tabs>
          <w:tab w:leader="none" w:pos="446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4" w:name="page75"/>
    <w:bookmarkEnd w:id="74"/>
    <w:p>
      <w:pPr>
        <w:ind w:left="1340" w:right="1599"/>
        <w:spacing w:after="0" w:line="272" w:lineRule="auto"/>
        <w:rPr>
          <w:sz w:val="20"/>
          <w:szCs w:val="20"/>
          <w:color w:val="auto"/>
        </w:rPr>
      </w:pPr>
      <w:r>
        <w:rPr>
          <w:rFonts w:ascii="Times New Roman" w:cs="Times New Roman" w:eastAsia="Times New Roman" w:hAnsi="Times New Roman"/>
          <w:sz w:val="16"/>
          <w:szCs w:val="16"/>
          <w:color w:val="auto"/>
        </w:rPr>
        <w:t>exchange rates, securities or baskets of securities, commodity prices or indices, the manner in which such amounts shall be determined;</w:t>
      </w:r>
    </w:p>
    <w:p>
      <w:pPr>
        <w:spacing w:after="0" w:line="110" w:lineRule="exact"/>
        <w:rPr>
          <w:sz w:val="20"/>
          <w:szCs w:val="20"/>
          <w:color w:val="auto"/>
        </w:rPr>
      </w:pPr>
    </w:p>
    <w:p>
      <w:pPr>
        <w:ind w:left="1340" w:right="1419" w:firstLine="976"/>
        <w:spacing w:after="0" w:line="249"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27" w:lineRule="exact"/>
        <w:rPr>
          <w:rFonts w:ascii="Times New Roman" w:cs="Times New Roman" w:eastAsia="Times New Roman" w:hAnsi="Times New Roman"/>
          <w:sz w:val="16"/>
          <w:szCs w:val="16"/>
          <w:color w:val="auto"/>
        </w:rPr>
      </w:pPr>
    </w:p>
    <w:p>
      <w:pPr>
        <w:ind w:left="1340" w:right="1539" w:firstLine="976"/>
        <w:spacing w:after="0" w:line="246"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30"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Sections 10.01(b) or 10.01(c) are inapplicable to Securities of such series;</w:t>
      </w:r>
    </w:p>
    <w:p>
      <w:pPr>
        <w:spacing w:after="0" w:line="160" w:lineRule="exact"/>
        <w:rPr>
          <w:rFonts w:ascii="Times New Roman" w:cs="Times New Roman" w:eastAsia="Times New Roman" w:hAnsi="Times New Roman"/>
          <w:sz w:val="16"/>
          <w:szCs w:val="16"/>
          <w:color w:val="auto"/>
        </w:rPr>
      </w:pPr>
    </w:p>
    <w:p>
      <w:pPr>
        <w:ind w:left="1340" w:right="1699" w:firstLine="976"/>
        <w:spacing w:after="0" w:line="255"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the Issuer will pay Additional Amounts on the Securities and, if so, whether the Issuer will have the option to redeem such Securities rather than pay such additional amounts;</w:t>
      </w:r>
    </w:p>
    <w:p>
      <w:pPr>
        <w:spacing w:after="0" w:line="122" w:lineRule="exact"/>
        <w:rPr>
          <w:rFonts w:ascii="Times New Roman" w:cs="Times New Roman" w:eastAsia="Times New Roman" w:hAnsi="Times New Roman"/>
          <w:sz w:val="16"/>
          <w:szCs w:val="16"/>
          <w:color w:val="auto"/>
        </w:rPr>
      </w:pPr>
    </w:p>
    <w:p>
      <w:pPr>
        <w:jc w:val="both"/>
        <w:ind w:left="1340" w:right="1479" w:firstLine="976"/>
        <w:spacing w:after="0" w:line="249"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27" w:lineRule="exact"/>
        <w:rPr>
          <w:rFonts w:ascii="Times New Roman" w:cs="Times New Roman" w:eastAsia="Times New Roman" w:hAnsi="Times New Roman"/>
          <w:sz w:val="16"/>
          <w:szCs w:val="16"/>
          <w:color w:val="auto"/>
        </w:rPr>
      </w:pPr>
    </w:p>
    <w:p>
      <w:pPr>
        <w:ind w:left="1340" w:right="1479" w:firstLine="976"/>
        <w:spacing w:after="0" w:line="272"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trustees, authenticating or paying agents, transfer agents or registrars or any other agents with respect to the Securities of such series;</w:t>
      </w:r>
    </w:p>
    <w:p>
      <w:pPr>
        <w:spacing w:after="0" w:line="109" w:lineRule="exact"/>
        <w:rPr>
          <w:rFonts w:ascii="Times New Roman" w:cs="Times New Roman" w:eastAsia="Times New Roman" w:hAnsi="Times New Roman"/>
          <w:sz w:val="16"/>
          <w:szCs w:val="16"/>
          <w:color w:val="auto"/>
        </w:rPr>
      </w:pPr>
    </w:p>
    <w:p>
      <w:pPr>
        <w:ind w:left="1340" w:right="1359" w:firstLine="976"/>
        <w:spacing w:after="0" w:line="272"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events of default or covenants with respect to the Securities of such series in addition to or in lieu of those contained in this Indenture; and</w:t>
      </w:r>
    </w:p>
    <w:p>
      <w:pPr>
        <w:spacing w:after="0" w:line="109"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series.</w:t>
      </w:r>
    </w:p>
    <w:p>
      <w:pPr>
        <w:spacing w:after="0" w:line="160"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33" w:lineRule="exact"/>
        <w:rPr>
          <w:sz w:val="20"/>
          <w:szCs w:val="20"/>
          <w:color w:val="auto"/>
        </w:rPr>
      </w:pPr>
    </w:p>
    <w:p>
      <w:pPr>
        <w:ind w:left="1340" w:right="137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Authentication and Delivery of Securities.</w:t>
      </w:r>
      <w:r>
        <w:rPr>
          <w:rFonts w:ascii="Times New Roman" w:cs="Times New Roman" w:eastAsia="Times New Roman" w:hAnsi="Times New Roman"/>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5" w:name="page76"/>
    <w:bookmarkEnd w:id="75"/>
    <w:p>
      <w:pPr>
        <w:ind w:left="1340" w:right="1419"/>
        <w:spacing w:after="0" w:line="243" w:lineRule="auto"/>
        <w:rPr>
          <w:sz w:val="20"/>
          <w:szCs w:val="20"/>
          <w:color w:val="auto"/>
        </w:rPr>
      </w:pPr>
      <w:r>
        <w:rPr>
          <w:rFonts w:ascii="Times New Roman" w:cs="Times New Roman" w:eastAsia="Times New Roman" w:hAnsi="Times New Roman"/>
          <w:sz w:val="16"/>
          <w:szCs w:val="16"/>
          <w:color w:val="auto"/>
        </w:rPr>
        <w:t>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35" w:lineRule="exact"/>
        <w:rPr>
          <w:sz w:val="20"/>
          <w:szCs w:val="20"/>
          <w:color w:val="auto"/>
        </w:rPr>
      </w:pPr>
    </w:p>
    <w:p>
      <w:pPr>
        <w:ind w:left="1340" w:right="1699" w:firstLine="976"/>
        <w:spacing w:after="0" w:line="272" w:lineRule="auto"/>
        <w:tabs>
          <w:tab w:leader="none" w:pos="263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Issuer Order requesting such authentication and setting forth delivery instructions if the Securities are not to be delivered to the Issuer;</w:t>
      </w:r>
    </w:p>
    <w:p>
      <w:pPr>
        <w:spacing w:after="0" w:line="109" w:lineRule="exact"/>
        <w:rPr>
          <w:rFonts w:ascii="Times New Roman" w:cs="Times New Roman" w:eastAsia="Times New Roman" w:hAnsi="Times New Roman"/>
          <w:sz w:val="16"/>
          <w:szCs w:val="16"/>
          <w:color w:val="auto"/>
        </w:rPr>
      </w:pPr>
    </w:p>
    <w:p>
      <w:pPr>
        <w:jc w:val="both"/>
        <w:ind w:left="1340" w:right="1579" w:firstLine="976"/>
        <w:spacing w:after="0" w:line="255" w:lineRule="auto"/>
        <w:tabs>
          <w:tab w:leader="none" w:pos="263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Board Resolution, Officer’s Certificate and/or executed supplemental indenture referred to in Sections 2.01 and 2.03 by or pursuant to which the forms and terms of the Securities were established;</w:t>
      </w:r>
    </w:p>
    <w:p>
      <w:pPr>
        <w:spacing w:after="0" w:line="122" w:lineRule="exact"/>
        <w:rPr>
          <w:rFonts w:ascii="Times New Roman" w:cs="Times New Roman" w:eastAsia="Times New Roman" w:hAnsi="Times New Roman"/>
          <w:sz w:val="16"/>
          <w:szCs w:val="16"/>
          <w:color w:val="auto"/>
        </w:rPr>
      </w:pPr>
    </w:p>
    <w:p>
      <w:pPr>
        <w:ind w:left="1340" w:right="1739" w:firstLine="976"/>
        <w:spacing w:after="0" w:line="249" w:lineRule="auto"/>
        <w:tabs>
          <w:tab w:leader="none" w:pos="263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127"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to the effect that:</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72" w:lineRule="auto"/>
        <w:tabs>
          <w:tab w:leader="none" w:pos="3123"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or forms and terms of such Securities have been established pursuant to Sections 2.01 and 2.03 and comply with this Indenture,</w:t>
      </w:r>
    </w:p>
    <w:p>
      <w:pPr>
        <w:spacing w:after="0" w:line="109" w:lineRule="exact"/>
        <w:rPr>
          <w:rFonts w:ascii="Times New Roman" w:cs="Times New Roman" w:eastAsia="Times New Roman" w:hAnsi="Times New Roman"/>
          <w:sz w:val="16"/>
          <w:szCs w:val="16"/>
          <w:color w:val="auto"/>
        </w:rPr>
      </w:pPr>
    </w:p>
    <w:p>
      <w:pPr>
        <w:ind w:left="1340" w:right="1499" w:firstLine="1462"/>
        <w:spacing w:after="0" w:line="272" w:lineRule="auto"/>
        <w:tabs>
          <w:tab w:leader="none" w:pos="3123"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authentication and delivery of such Securities by the Trustee are authorized under the provisions of this Indenture, and</w:t>
      </w:r>
    </w:p>
    <w:p>
      <w:pPr>
        <w:spacing w:after="0" w:line="109"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Securities when authenticated and delivered by the Trustee and issued by the Issuer in the manner and subject to any conditions specified in such Opinion of Counsel, will constitute valid and binding obligations of the Issuer, and covering such other matters as the Trustee may reasonably request.</w:t>
      </w:r>
    </w:p>
    <w:p>
      <w:pPr>
        <w:spacing w:after="0" w:line="128"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35" w:lineRule="exact"/>
        <w:rPr>
          <w:sz w:val="20"/>
          <w:szCs w:val="20"/>
          <w:color w:val="auto"/>
        </w:rPr>
      </w:pPr>
    </w:p>
    <w:p>
      <w:pPr>
        <w:ind w:left="1340" w:right="1539" w:firstLine="486"/>
        <w:spacing w:after="0" w:line="249" w:lineRule="auto"/>
        <w:rPr>
          <w:sz w:val="20"/>
          <w:szCs w:val="20"/>
          <w:color w:val="auto"/>
        </w:rPr>
      </w:pPr>
      <w:r>
        <w:rPr>
          <w:rFonts w:ascii="Times New Roman" w:cs="Times New Roman" w:eastAsia="Times New Roman" w:hAnsi="Times New Roman"/>
          <w:sz w:val="16"/>
          <w:szCs w:val="16"/>
          <w:color w:val="auto"/>
        </w:rPr>
        <w:t>The Issuer shall execute and the Trustee shall, in accordance with this Section with respect to the Securities of a series, authenticate and deliver one or more Global Securities that</w:t>
      </w:r>
    </w:p>
    <w:p>
      <w:pPr>
        <w:spacing w:after="0" w:line="1" w:lineRule="exact"/>
        <w:rPr>
          <w:sz w:val="20"/>
          <w:szCs w:val="20"/>
          <w:color w:val="auto"/>
        </w:rPr>
      </w:pPr>
    </w:p>
    <w:p>
      <w:pPr>
        <w:ind w:left="1340" w:right="1439" w:firstLine="3"/>
        <w:spacing w:after="0"/>
        <w:tabs>
          <w:tab w:leader="none" w:pos="153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76" w:name="page77"/>
    <w:bookmarkEnd w:id="76"/>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35"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21"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Execution of Securities</w:t>
      </w:r>
      <w:r>
        <w:rPr>
          <w:rFonts w:ascii="Times New Roman" w:cs="Times New Roman" w:eastAsia="Times New Roman" w:hAnsi="Times New Roman"/>
          <w:sz w:val="16"/>
          <w:szCs w:val="16"/>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31"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320"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Certificate of Authentication</w:t>
      </w:r>
      <w:r>
        <w:rPr>
          <w:rFonts w:ascii="Times New Roman" w:cs="Times New Roman" w:eastAsia="Times New Roman" w:hAnsi="Times New Roman"/>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29" w:lineRule="exact"/>
        <w:rPr>
          <w:sz w:val="20"/>
          <w:szCs w:val="20"/>
          <w:color w:val="auto"/>
        </w:rPr>
      </w:pPr>
    </w:p>
    <w:p>
      <w:pPr>
        <w:ind w:left="1340" w:right="14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Denomination and Date of Securities; Payments of Interest</w:t>
      </w:r>
      <w:r>
        <w:rPr>
          <w:rFonts w:ascii="Times New Roman" w:cs="Times New Roman" w:eastAsia="Times New Roman" w:hAnsi="Times New Roman"/>
          <w:sz w:val="16"/>
          <w:szCs w:val="16"/>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7" w:name="page78"/>
    <w:bookmarkEnd w:id="77"/>
    <w:p>
      <w:pPr>
        <w:ind w:left="1340" w:right="1499" w:firstLine="486"/>
        <w:spacing w:after="0" w:line="255" w:lineRule="auto"/>
        <w:rPr>
          <w:sz w:val="20"/>
          <w:szCs w:val="20"/>
          <w:color w:val="auto"/>
        </w:rPr>
      </w:pPr>
      <w:r>
        <w:rPr>
          <w:rFonts w:ascii="Times New Roman" w:cs="Times New Roman" w:eastAsia="Times New Roman" w:hAnsi="Times New Roman"/>
          <w:sz w:val="16"/>
          <w:szCs w:val="16"/>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23"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32"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Registration, Transfer and Exchange</w:t>
      </w:r>
      <w:r>
        <w:rPr>
          <w:rFonts w:ascii="Times New Roman" w:cs="Times New Roman" w:eastAsia="Times New Roman" w:hAnsi="Times New Roman"/>
          <w:sz w:val="16"/>
          <w:szCs w:val="16"/>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319" w:lineRule="exact"/>
        <w:rPr>
          <w:sz w:val="20"/>
          <w:szCs w:val="20"/>
          <w:color w:val="auto"/>
        </w:rPr>
      </w:pPr>
    </w:p>
    <w:p>
      <w:pPr>
        <w:ind w:left="1340" w:right="1619" w:firstLine="486"/>
        <w:spacing w:after="0" w:line="246" w:lineRule="auto"/>
        <w:rPr>
          <w:sz w:val="20"/>
          <w:szCs w:val="20"/>
          <w:color w:val="auto"/>
        </w:rPr>
      </w:pPr>
      <w:r>
        <w:rPr>
          <w:rFonts w:ascii="Times New Roman" w:cs="Times New Roman" w:eastAsia="Times New Roman" w:hAnsi="Times New Roman"/>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8" w:name="page79"/>
    <w:bookmarkEnd w:id="78"/>
    <w:p>
      <w:pPr>
        <w:jc w:val="both"/>
        <w:ind w:left="1340" w:right="1579" w:firstLine="486"/>
        <w:spacing w:after="0" w:line="249" w:lineRule="auto"/>
        <w:rPr>
          <w:sz w:val="20"/>
          <w:szCs w:val="20"/>
          <w:color w:val="auto"/>
        </w:rPr>
      </w:pPr>
      <w:r>
        <w:rPr>
          <w:rFonts w:ascii="Times New Roman" w:cs="Times New Roman" w:eastAsia="Times New Roman" w:hAnsi="Times New Roman"/>
          <w:sz w:val="16"/>
          <w:szCs w:val="16"/>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28"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3" w:lineRule="exact"/>
        <w:rPr>
          <w:sz w:val="20"/>
          <w:szCs w:val="20"/>
          <w:color w:val="auto"/>
        </w:rPr>
      </w:pPr>
    </w:p>
    <w:p>
      <w:pPr>
        <w:ind w:left="1340" w:right="1439" w:firstLine="486"/>
        <w:spacing w:after="0" w:line="246" w:lineRule="auto"/>
        <w:rPr>
          <w:sz w:val="20"/>
          <w:szCs w:val="20"/>
          <w:color w:val="auto"/>
        </w:rPr>
      </w:pPr>
      <w:r>
        <w:rPr>
          <w:rFonts w:ascii="Times New Roman" w:cs="Times New Roman" w:eastAsia="Times New Roman" w:hAnsi="Times New Roman"/>
          <w:sz w:val="16"/>
          <w:szCs w:val="16"/>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31" w:lineRule="exact"/>
        <w:rPr>
          <w:sz w:val="20"/>
          <w:szCs w:val="20"/>
          <w:color w:val="auto"/>
        </w:rPr>
      </w:pPr>
    </w:p>
    <w:p>
      <w:pPr>
        <w:ind w:left="1340" w:right="1399" w:firstLine="486"/>
        <w:spacing w:after="0" w:line="244" w:lineRule="auto"/>
        <w:rPr>
          <w:sz w:val="20"/>
          <w:szCs w:val="20"/>
          <w:color w:val="auto"/>
        </w:rPr>
      </w:pPr>
      <w:r>
        <w:rPr>
          <w:rFonts w:ascii="Times New Roman" w:cs="Times New Roman" w:eastAsia="Times New Roman" w:hAnsi="Times New Roman"/>
          <w:sz w:val="16"/>
          <w:szCs w:val="16"/>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34"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41"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37" w:lineRule="exact"/>
        <w:rPr>
          <w:sz w:val="20"/>
          <w:szCs w:val="20"/>
          <w:color w:val="auto"/>
        </w:rPr>
      </w:pPr>
    </w:p>
    <w:p>
      <w:pPr>
        <w:ind w:left="1340" w:right="1359" w:firstLine="486"/>
        <w:spacing w:after="0" w:line="272" w:lineRule="auto"/>
        <w:rPr>
          <w:sz w:val="20"/>
          <w:szCs w:val="20"/>
          <w:color w:val="auto"/>
        </w:rPr>
      </w:pPr>
      <w:r>
        <w:rPr>
          <w:rFonts w:ascii="Times New Roman" w:cs="Times New Roman" w:eastAsia="Times New Roman" w:hAnsi="Times New Roman"/>
          <w:sz w:val="16"/>
          <w:szCs w:val="16"/>
          <w:color w:val="auto"/>
        </w:rPr>
        <w:t>The Depositary for such Global Security may surrender such Global Security in exchange in whole or in part for Securities of the same series in definitive registered form in accordance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9" w:name="page80"/>
    <w:bookmarkEnd w:id="79"/>
    <w:p>
      <w:pPr>
        <w:ind w:left="1340" w:right="1359"/>
        <w:spacing w:after="0" w:line="255" w:lineRule="auto"/>
        <w:rPr>
          <w:sz w:val="20"/>
          <w:szCs w:val="20"/>
          <w:color w:val="auto"/>
        </w:rPr>
      </w:pPr>
      <w:r>
        <w:rPr>
          <w:rFonts w:ascii="Times New Roman" w:cs="Times New Roman" w:eastAsia="Times New Roman" w:hAnsi="Times New Roman"/>
          <w:sz w:val="16"/>
          <w:szCs w:val="16"/>
          <w:color w:val="auto"/>
        </w:rPr>
        <w:t>with the two preceding paragraphs or on such other terms as are acceptable to the Issuer and such Depositary. Thereupon, the Issuer shall execute, and the Trustee shall authenticate and deliver, without service charge,</w:t>
      </w:r>
    </w:p>
    <w:p>
      <w:pPr>
        <w:spacing w:after="0" w:line="123" w:lineRule="exact"/>
        <w:rPr>
          <w:sz w:val="20"/>
          <w:szCs w:val="20"/>
          <w:color w:val="auto"/>
        </w:rPr>
      </w:pPr>
    </w:p>
    <w:p>
      <w:pPr>
        <w:ind w:left="1340" w:right="1359" w:firstLine="1462"/>
        <w:spacing w:after="0" w:line="249" w:lineRule="auto"/>
        <w:tabs>
          <w:tab w:leader="none" w:pos="312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127" w:lineRule="exact"/>
        <w:rPr>
          <w:rFonts w:ascii="Times New Roman" w:cs="Times New Roman" w:eastAsia="Times New Roman" w:hAnsi="Times New Roman"/>
          <w:sz w:val="16"/>
          <w:szCs w:val="16"/>
          <w:color w:val="auto"/>
        </w:rPr>
      </w:pPr>
    </w:p>
    <w:p>
      <w:pPr>
        <w:ind w:left="1340" w:right="1419" w:firstLine="1462"/>
        <w:spacing w:after="0" w:line="250" w:lineRule="auto"/>
        <w:tabs>
          <w:tab w:leader="none" w:pos="312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317"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35" w:lineRule="exact"/>
        <w:rPr>
          <w:sz w:val="20"/>
          <w:szCs w:val="20"/>
          <w:color w:val="auto"/>
        </w:rPr>
      </w:pPr>
    </w:p>
    <w:p>
      <w:pPr>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Mutilated, Defaced, Destroyed, Lost and Stolen Securities.</w:t>
      </w:r>
      <w:r>
        <w:rPr>
          <w:rFonts w:ascii="Times New Roman" w:cs="Times New Roman" w:eastAsia="Times New Roman" w:hAnsi="Times New Roman"/>
          <w:sz w:val="16"/>
          <w:szCs w:val="16"/>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327"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0" w:name="page81"/>
    <w:bookmarkEnd w:id="80"/>
    <w:p>
      <w:pPr>
        <w:ind w:left="1340" w:right="1399"/>
        <w:spacing w:after="0" w:line="243" w:lineRule="auto"/>
        <w:rPr>
          <w:sz w:val="20"/>
          <w:szCs w:val="20"/>
          <w:color w:val="auto"/>
        </w:rPr>
      </w:pPr>
      <w:r>
        <w:rPr>
          <w:rFonts w:ascii="Times New Roman" w:cs="Times New Roman" w:eastAsia="Times New Roman" w:hAnsi="Times New Roman"/>
          <w:sz w:val="16"/>
          <w:szCs w:val="16"/>
          <w:color w:val="auto"/>
        </w:rPr>
        <w:t>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35"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Cancellation of Securities; Destruction Thereof.</w:t>
      </w:r>
      <w:r>
        <w:rPr>
          <w:rFonts w:ascii="Times New Roman" w:cs="Times New Roman" w:eastAsia="Times New Roman" w:hAnsi="Times New Roman"/>
          <w:sz w:val="16"/>
          <w:szCs w:val="16"/>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3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2.11 </w:t>
      </w:r>
      <w:r>
        <w:rPr>
          <w:rFonts w:ascii="Times New Roman" w:cs="Times New Roman" w:eastAsia="Times New Roman" w:hAnsi="Times New Roman"/>
          <w:sz w:val="16"/>
          <w:szCs w:val="16"/>
          <w:i w:val="1"/>
          <w:iCs w:val="1"/>
          <w:color w:val="auto"/>
        </w:rPr>
        <w:t>Temporary Securities.</w:t>
      </w:r>
      <w:r>
        <w:rPr>
          <w:rFonts w:ascii="Times New Roman" w:cs="Times New Roman" w:eastAsia="Times New Roman" w:hAnsi="Times New Roman"/>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1" w:name="page82"/>
    <w:bookmarkEnd w:id="81"/>
    <w:p>
      <w:pPr>
        <w:ind w:left="1340" w:right="1419"/>
        <w:spacing w:after="0" w:line="249" w:lineRule="auto"/>
        <w:rPr>
          <w:sz w:val="20"/>
          <w:szCs w:val="20"/>
          <w:color w:val="auto"/>
        </w:rPr>
      </w:pPr>
      <w:r>
        <w:rPr>
          <w:rFonts w:ascii="Times New Roman" w:cs="Times New Roman" w:eastAsia="Times New Roman" w:hAnsi="Times New Roman"/>
          <w:sz w:val="16"/>
          <w:szCs w:val="16"/>
          <w:color w:val="auto"/>
        </w:rPr>
        <w:t>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26"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2.12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3</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COVENANTS OF THE ISSUER</w:t>
      </w:r>
    </w:p>
    <w:p>
      <w:pPr>
        <w:spacing w:after="0" w:line="140"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316" w:lineRule="exact"/>
        <w:rPr>
          <w:sz w:val="20"/>
          <w:szCs w:val="20"/>
          <w:color w:val="auto"/>
        </w:rPr>
      </w:pPr>
    </w:p>
    <w:p>
      <w:pPr>
        <w:ind w:left="1820"/>
        <w:spacing w:after="0"/>
        <w:tabs>
          <w:tab w:leader="none" w:pos="2780" w:val="left"/>
        </w:tabs>
        <w:rPr>
          <w:sz w:val="20"/>
          <w:szCs w:val="20"/>
          <w:color w:val="auto"/>
        </w:rPr>
      </w:pPr>
      <w:r>
        <w:rPr>
          <w:rFonts w:ascii="Times New Roman" w:cs="Times New Roman" w:eastAsia="Times New Roman" w:hAnsi="Times New Roman"/>
          <w:sz w:val="16"/>
          <w:szCs w:val="16"/>
          <w:color w:val="auto"/>
        </w:rPr>
        <w:t>Section 3.02</w:t>
      </w:r>
      <w:r>
        <w:rPr>
          <w:sz w:val="20"/>
          <w:szCs w:val="20"/>
          <w:color w:val="auto"/>
        </w:rPr>
        <w:tab/>
      </w:r>
      <w:r>
        <w:rPr>
          <w:rFonts w:ascii="Times New Roman" w:cs="Times New Roman" w:eastAsia="Times New Roman" w:hAnsi="Times New Roman"/>
          <w:sz w:val="16"/>
          <w:szCs w:val="16"/>
          <w:i w:val="1"/>
          <w:iCs w:val="1"/>
          <w:color w:val="auto"/>
        </w:rPr>
        <w:t>Offices for Payments, Etc</w:t>
      </w:r>
      <w:r>
        <w:rPr>
          <w:rFonts w:ascii="Times New Roman" w:cs="Times New Roman" w:eastAsia="Times New Roman" w:hAnsi="Times New Roman"/>
          <w:sz w:val="16"/>
          <w:szCs w:val="16"/>
          <w:color w:val="auto"/>
        </w:rPr>
        <w:t>. The Issuer will maintain (i) in _______, an</w:t>
      </w:r>
    </w:p>
    <w:p>
      <w:pPr>
        <w:spacing w:after="0" w:line="18" w:lineRule="exact"/>
        <w:rPr>
          <w:sz w:val="20"/>
          <w:szCs w:val="20"/>
          <w:color w:val="auto"/>
        </w:rPr>
      </w:pPr>
    </w:p>
    <w:p>
      <w:pPr>
        <w:ind w:left="1340" w:right="1519"/>
        <w:spacing w:after="0"/>
        <w:rPr>
          <w:sz w:val="20"/>
          <w:szCs w:val="20"/>
          <w:color w:val="auto"/>
        </w:rPr>
      </w:pPr>
      <w:r>
        <w:rPr>
          <w:rFonts w:ascii="Times New Roman" w:cs="Times New Roman" w:eastAsia="Times New Roman" w:hAnsi="Times New Roman"/>
          <w:sz w:val="16"/>
          <w:szCs w:val="16"/>
          <w:color w:val="auto"/>
        </w:rPr>
        <w:t>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The Issuer will maintain in __________, an agency where notices and demands to 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upon the Issuer in respect of the Securities of any series or this Indenture may be served.</w:t>
      </w:r>
    </w:p>
    <w:p>
      <w:pPr>
        <w:spacing w:after="0" w:line="142" w:lineRule="exact"/>
        <w:rPr>
          <w:sz w:val="20"/>
          <w:szCs w:val="20"/>
          <w:color w:val="auto"/>
        </w:rPr>
      </w:pPr>
    </w:p>
    <w:p>
      <w:pPr>
        <w:ind w:left="1340" w:right="1419" w:firstLine="486"/>
        <w:spacing w:after="0" w:line="245" w:lineRule="auto"/>
        <w:rPr>
          <w:sz w:val="20"/>
          <w:szCs w:val="20"/>
          <w:color w:val="auto"/>
        </w:rPr>
      </w:pPr>
      <w:r>
        <w:rPr>
          <w:rFonts w:ascii="Times New Roman" w:cs="Times New Roman" w:eastAsia="Times New Roman" w:hAnsi="Times New Roman"/>
          <w:sz w:val="16"/>
          <w:szCs w:val="16"/>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w:t>
      </w:r>
    </w:p>
    <w:p>
      <w:pPr>
        <w:spacing w:after="0" w:line="2" w:lineRule="exact"/>
        <w:rPr>
          <w:sz w:val="20"/>
          <w:szCs w:val="20"/>
          <w:color w:val="auto"/>
        </w:rPr>
      </w:pPr>
    </w:p>
    <w:p>
      <w:pPr>
        <w:ind w:left="1340" w:right="1739"/>
        <w:spacing w:after="0" w:line="248" w:lineRule="auto"/>
        <w:rPr>
          <w:sz w:val="20"/>
          <w:szCs w:val="20"/>
          <w:color w:val="auto"/>
        </w:rPr>
      </w:pPr>
      <w:r>
        <w:rPr>
          <w:rFonts w:ascii="Times New Roman" w:cs="Times New Roman" w:eastAsia="Times New Roman" w:hAnsi="Times New Roman"/>
          <w:sz w:val="16"/>
          <w:szCs w:val="16"/>
          <w:color w:val="auto"/>
        </w:rPr>
        <w:t>any change in the location of any of the above agencies, presentations and demands may be made and notices may be served at the Corporate Trust Office of the Trustee.</w:t>
      </w:r>
    </w:p>
    <w:p>
      <w:pPr>
        <w:spacing w:after="0" w:line="129" w:lineRule="exact"/>
        <w:rPr>
          <w:sz w:val="20"/>
          <w:szCs w:val="20"/>
          <w:color w:val="auto"/>
        </w:rPr>
      </w:pPr>
    </w:p>
    <w:p>
      <w:pPr>
        <w:ind w:left="1340" w:right="1379" w:firstLine="486"/>
        <w:spacing w:after="0" w:line="249" w:lineRule="auto"/>
        <w:rPr>
          <w:sz w:val="20"/>
          <w:szCs w:val="20"/>
          <w:color w:val="auto"/>
        </w:rPr>
      </w:pPr>
      <w:r>
        <w:rPr>
          <w:rFonts w:ascii="Times New Roman" w:cs="Times New Roman" w:eastAsia="Times New Roman" w:hAnsi="Times New Roman"/>
          <w:sz w:val="16"/>
          <w:szCs w:val="16"/>
          <w:color w:val="auto"/>
        </w:rPr>
        <w:t>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2" w:name="page83"/>
    <w:bookmarkEnd w:id="82"/>
    <w:p>
      <w:pPr>
        <w:ind w:left="1340" w:right="1399"/>
        <w:spacing w:after="0" w:line="246" w:lineRule="auto"/>
        <w:rPr>
          <w:sz w:val="20"/>
          <w:szCs w:val="20"/>
          <w:color w:val="auto"/>
        </w:rPr>
      </w:pPr>
      <w:r>
        <w:rPr>
          <w:rFonts w:ascii="Times New Roman" w:cs="Times New Roman" w:eastAsia="Times New Roman" w:hAnsi="Times New Roman"/>
          <w:sz w:val="16"/>
          <w:szCs w:val="16"/>
          <w:color w:val="auto"/>
        </w:rPr>
        <w:t xml:space="preserve">as in this Indenture provided, and the Issuer may from time to time rescind any such designation, as the Issuer may deem desirable or expedient;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29" w:lineRule="exact"/>
        <w:rPr>
          <w:sz w:val="20"/>
          <w:szCs w:val="20"/>
          <w:color w:val="auto"/>
        </w:rPr>
      </w:pPr>
    </w:p>
    <w:p>
      <w:pPr>
        <w:jc w:val="both"/>
        <w:ind w:left="1340" w:right="14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i w:val="1"/>
          <w:iCs w:val="1"/>
          <w:color w:val="auto"/>
        </w:rPr>
        <w:t>Appointment to Fill a Vacancy in Office of Trustee.</w:t>
      </w:r>
      <w:r>
        <w:rPr>
          <w:rFonts w:ascii="Times New Roman" w:cs="Times New Roman" w:eastAsia="Times New Roman" w:hAnsi="Times New Roman"/>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25" w:lineRule="exact"/>
        <w:rPr>
          <w:sz w:val="20"/>
          <w:szCs w:val="20"/>
          <w:color w:val="auto"/>
        </w:rPr>
      </w:pPr>
    </w:p>
    <w:p>
      <w:pPr>
        <w:ind w:left="1340" w:right="159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i w:val="1"/>
          <w:iCs w:val="1"/>
          <w:color w:val="auto"/>
        </w:rPr>
        <w:t>Paying Agents.</w:t>
      </w:r>
      <w:r>
        <w:rPr>
          <w:rFonts w:ascii="Times New Roman" w:cs="Times New Roman" w:eastAsia="Times New Roman" w:hAnsi="Times New Roman"/>
          <w:sz w:val="16"/>
          <w:szCs w:val="16"/>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27" w:lineRule="exact"/>
        <w:rPr>
          <w:sz w:val="20"/>
          <w:szCs w:val="20"/>
          <w:color w:val="auto"/>
        </w:rPr>
      </w:pPr>
    </w:p>
    <w:p>
      <w:pPr>
        <w:jc w:val="both"/>
        <w:ind w:left="1340" w:right="1499" w:firstLine="976"/>
        <w:spacing w:after="0" w:line="249" w:lineRule="auto"/>
        <w:tabs>
          <w:tab w:leader="none" w:pos="263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27" w:lineRule="exact"/>
        <w:rPr>
          <w:rFonts w:ascii="Times New Roman" w:cs="Times New Roman" w:eastAsia="Times New Roman" w:hAnsi="Times New Roman"/>
          <w:sz w:val="16"/>
          <w:szCs w:val="16"/>
          <w:color w:val="auto"/>
        </w:rPr>
      </w:pPr>
    </w:p>
    <w:p>
      <w:pPr>
        <w:ind w:left="1340" w:right="1399" w:firstLine="976"/>
        <w:spacing w:after="0" w:line="255" w:lineRule="auto"/>
        <w:tabs>
          <w:tab w:leader="none" w:pos="263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22" w:lineRule="exact"/>
        <w:rPr>
          <w:rFonts w:ascii="Times New Roman" w:cs="Times New Roman" w:eastAsia="Times New Roman" w:hAnsi="Times New Roman"/>
          <w:sz w:val="16"/>
          <w:szCs w:val="16"/>
          <w:color w:val="auto"/>
        </w:rPr>
      </w:pPr>
    </w:p>
    <w:p>
      <w:pPr>
        <w:ind w:left="1340" w:right="1359" w:firstLine="976"/>
        <w:spacing w:after="0" w:line="255" w:lineRule="auto"/>
        <w:tabs>
          <w:tab w:leader="none" w:pos="263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 any time during the continuance of any such failure, upon the written request of the Trustee, it will forthwith pay to the Trustee all sums so held in trust by such paying agent.</w:t>
      </w:r>
    </w:p>
    <w:p>
      <w:pPr>
        <w:spacing w:after="0" w:line="123" w:lineRule="exact"/>
        <w:rPr>
          <w:sz w:val="20"/>
          <w:szCs w:val="20"/>
          <w:color w:val="auto"/>
        </w:rPr>
      </w:pPr>
    </w:p>
    <w:p>
      <w:pPr>
        <w:ind w:left="1340" w:right="1479" w:firstLine="486"/>
        <w:spacing w:after="0" w:line="249" w:lineRule="auto"/>
        <w:rPr>
          <w:sz w:val="20"/>
          <w:szCs w:val="20"/>
          <w:color w:val="auto"/>
        </w:rPr>
      </w:pPr>
      <w:r>
        <w:rPr>
          <w:rFonts w:ascii="Times New Roman" w:cs="Times New Roman" w:eastAsia="Times New Roman" w:hAnsi="Times New Roman"/>
          <w:sz w:val="16"/>
          <w:szCs w:val="16"/>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8"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31"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3" w:name="page84"/>
    <w:bookmarkEnd w:id="83"/>
    <w:p>
      <w:pPr>
        <w:ind w:left="1340" w:right="1499" w:firstLine="486"/>
        <w:spacing w:after="0" w:line="272" w:lineRule="auto"/>
        <w:rPr>
          <w:sz w:val="20"/>
          <w:szCs w:val="20"/>
          <w:color w:val="auto"/>
        </w:rPr>
      </w:pPr>
      <w:r>
        <w:rPr>
          <w:rFonts w:ascii="Times New Roman" w:cs="Times New Roman" w:eastAsia="Times New Roman" w:hAnsi="Times New Roman"/>
          <w:sz w:val="16"/>
          <w:szCs w:val="16"/>
          <w:color w:val="auto"/>
        </w:rPr>
        <w:t>Anything in this Section to the contrary notwithstanding, the agreement to hold sums in trust as provided in this Section is subject to the provisions of Sections 10.03 and 10.04.</w:t>
      </w:r>
    </w:p>
    <w:p>
      <w:pPr>
        <w:spacing w:after="0" w:line="108"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i w:val="1"/>
          <w:iCs w:val="1"/>
          <w:color w:val="auto"/>
        </w:rPr>
        <w:t>Written Statement to Trustee.</w:t>
      </w:r>
      <w:r>
        <w:rPr>
          <w:rFonts w:ascii="Times New Roman" w:cs="Times New Roman" w:eastAsia="Times New Roman" w:hAnsi="Times New Roman"/>
          <w:sz w:val="16"/>
          <w:szCs w:val="16"/>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4</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SECURITYHOLDERS LISTS AND REPORTS BY THE ISSUER AND THE TRUSTEE</w:t>
      </w:r>
    </w:p>
    <w:p>
      <w:pPr>
        <w:spacing w:after="0" w:line="140" w:lineRule="exact"/>
        <w:rPr>
          <w:sz w:val="20"/>
          <w:szCs w:val="20"/>
          <w:color w:val="auto"/>
        </w:rPr>
      </w:pPr>
    </w:p>
    <w:p>
      <w:pPr>
        <w:ind w:left="1340" w:right="141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Issuer to Furnish Trustee Information as to Names and Addresses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Securityholders. </w:t>
      </w:r>
      <w:r>
        <w:rPr>
          <w:rFonts w:ascii="Times New Roman" w:cs="Times New Roman" w:eastAsia="Times New Roman" w:hAnsi="Times New Roman"/>
          <w:sz w:val="16"/>
          <w:szCs w:val="16"/>
          <w:color w:val="auto"/>
        </w:rPr>
        <w:t>The Issuer covenants and agrees that it will furnish or cause to be furnished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Trustee a list in such form as the Trustee may reasonably require of the names and addresses of the Holders of the Securities of each series pursuant to Section 312 of the Trust Indenture Act of 1939:</w:t>
      </w:r>
    </w:p>
    <w:p>
      <w:pPr>
        <w:spacing w:after="0" w:line="129" w:lineRule="exact"/>
        <w:rPr>
          <w:sz w:val="20"/>
          <w:szCs w:val="20"/>
          <w:color w:val="auto"/>
        </w:rPr>
      </w:pPr>
    </w:p>
    <w:p>
      <w:pPr>
        <w:ind w:left="1340" w:right="1479" w:firstLine="976"/>
        <w:spacing w:after="0" w:line="249" w:lineRule="auto"/>
        <w:tabs>
          <w:tab w:leader="none" w:pos="263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6" w:lineRule="auto"/>
        <w:tabs>
          <w:tab w:leader="none" w:pos="263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such other times as the Trustee may request in writing, within 30 days after receipt by the Issuer of any such request as of a date not more than 15 days prior to the time such information is furnished,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and so long as the Trustee shall be the Security registrar (the </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for such series, such list shall not be required to be furnished.</w:t>
      </w:r>
    </w:p>
    <w:p>
      <w:pPr>
        <w:spacing w:after="0" w:line="318" w:lineRule="exact"/>
        <w:rPr>
          <w:sz w:val="20"/>
          <w:szCs w:val="20"/>
          <w:color w:val="auto"/>
        </w:rPr>
      </w:pPr>
    </w:p>
    <w:p>
      <w:pPr>
        <w:ind w:left="1340" w:right="14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Reports by the Issuer.</w:t>
      </w:r>
      <w:r>
        <w:rPr>
          <w:rFonts w:ascii="Times New Roman" w:cs="Times New Roman" w:eastAsia="Times New Roman" w:hAnsi="Times New Roman"/>
          <w:sz w:val="16"/>
          <w:szCs w:val="16"/>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25" w:lineRule="exact"/>
        <w:rPr>
          <w:sz w:val="20"/>
          <w:szCs w:val="20"/>
          <w:color w:val="auto"/>
        </w:rPr>
      </w:pPr>
    </w:p>
    <w:p>
      <w:pPr>
        <w:ind w:left="1340" w:right="14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Reports by the Trustee.</w:t>
      </w:r>
      <w:r>
        <w:rPr>
          <w:rFonts w:ascii="Times New Roman" w:cs="Times New Roman" w:eastAsia="Times New Roman" w:hAnsi="Times New Roman"/>
          <w:sz w:val="16"/>
          <w:szCs w:val="16"/>
          <w:color w:val="auto"/>
        </w:rPr>
        <w:t xml:space="preserve"> Any Trustee’s report required under Section 313(a) of the Trust Indenture Act of 1939 shall be transmitted on or before ______ in each year</w:t>
      </w:r>
    </w:p>
    <w:p>
      <w:pPr>
        <w:spacing w:after="0" w:line="1" w:lineRule="exact"/>
        <w:rPr>
          <w:sz w:val="20"/>
          <w:szCs w:val="20"/>
          <w:color w:val="auto"/>
        </w:rPr>
      </w:pPr>
    </w:p>
    <w:p>
      <w:pPr>
        <w:ind w:left="1340" w:right="1739"/>
        <w:spacing w:after="0" w:line="241" w:lineRule="auto"/>
        <w:rPr>
          <w:sz w:val="20"/>
          <w:szCs w:val="20"/>
          <w:color w:val="auto"/>
        </w:rPr>
      </w:pPr>
      <w:r>
        <w:rPr>
          <w:rFonts w:ascii="Times New Roman" w:cs="Times New Roman" w:eastAsia="Times New Roman" w:hAnsi="Times New Roman"/>
          <w:sz w:val="16"/>
          <w:szCs w:val="16"/>
          <w:color w:val="auto"/>
        </w:rPr>
        <w:t>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133" w:lineRule="exact"/>
        <w:rPr>
          <w:sz w:val="20"/>
          <w:szCs w:val="20"/>
          <w:color w:val="auto"/>
        </w:rPr>
      </w:pPr>
    </w:p>
    <w:p>
      <w:pPr>
        <w:ind w:left="1340" w:right="139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Preservation of Information; Communication with Securityholders.</w:t>
      </w:r>
      <w:r>
        <w:rPr>
          <w:rFonts w:ascii="Times New Roman" w:cs="Times New Roman" w:eastAsia="Times New Roman" w:hAnsi="Times New Roman"/>
          <w:sz w:val="16"/>
          <w:szCs w:val="16"/>
          <w:color w:val="auto"/>
        </w:rPr>
        <w:t xml:space="preserve"> (a) The Trustee shall preserve, in as current a form as is reasonably practicable, all information as to the names and addresses of the Holders of Securities contained in the most recent list furnished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4" w:name="page85"/>
    <w:bookmarkEnd w:id="84"/>
    <w:p>
      <w:pPr>
        <w:ind w:left="1340" w:right="1819"/>
        <w:spacing w:after="0" w:line="272" w:lineRule="auto"/>
        <w:rPr>
          <w:sz w:val="20"/>
          <w:szCs w:val="20"/>
          <w:color w:val="auto"/>
        </w:rPr>
      </w:pPr>
      <w:r>
        <w:rPr>
          <w:rFonts w:ascii="Times New Roman" w:cs="Times New Roman" w:eastAsia="Times New Roman" w:hAnsi="Times New Roman"/>
          <w:sz w:val="16"/>
          <w:szCs w:val="16"/>
          <w:color w:val="auto"/>
        </w:rPr>
        <w:t>to it as provided in Section 4.01 and as to the names and addresses of holders of Securities received by the Trustee in its capacity as Security Registrar (if acting in such capacity).</w:t>
      </w:r>
    </w:p>
    <w:p>
      <w:pPr>
        <w:spacing w:after="0" w:line="110" w:lineRule="exact"/>
        <w:rPr>
          <w:sz w:val="20"/>
          <w:szCs w:val="20"/>
          <w:color w:val="auto"/>
        </w:rPr>
      </w:pPr>
    </w:p>
    <w:p>
      <w:pPr>
        <w:ind w:left="1340" w:right="1499" w:firstLine="976"/>
        <w:spacing w:after="0" w:line="272" w:lineRule="auto"/>
        <w:tabs>
          <w:tab w:leader="none" w:pos="26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destroy any list furnished to it as provided in Section 4.01 upon receipt of a new list so furnished.</w:t>
      </w:r>
    </w:p>
    <w:p>
      <w:pPr>
        <w:spacing w:after="0" w:line="109" w:lineRule="exact"/>
        <w:rPr>
          <w:rFonts w:ascii="Times New Roman" w:cs="Times New Roman" w:eastAsia="Times New Roman" w:hAnsi="Times New Roman"/>
          <w:sz w:val="16"/>
          <w:szCs w:val="16"/>
          <w:color w:val="auto"/>
        </w:rPr>
      </w:pPr>
    </w:p>
    <w:p>
      <w:pPr>
        <w:jc w:val="both"/>
        <w:ind w:left="1340" w:right="1359" w:firstLine="976"/>
        <w:spacing w:after="0" w:line="249" w:lineRule="auto"/>
        <w:tabs>
          <w:tab w:leader="none" w:pos="26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5</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REMEDIES OF THE TRUSTEE AND SECURITYHOLDERS ON EVENT OF DEFAULT</w:t>
      </w:r>
    </w:p>
    <w:p>
      <w:pPr>
        <w:spacing w:after="0" w:line="140" w:lineRule="exact"/>
        <w:rPr>
          <w:sz w:val="20"/>
          <w:szCs w:val="20"/>
          <w:color w:val="auto"/>
        </w:rPr>
      </w:pPr>
    </w:p>
    <w:p>
      <w:pPr>
        <w:ind w:left="1340" w:right="151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Event of Default Defined; Acceleration of Maturity; Waiver of Default.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31" w:lineRule="exact"/>
        <w:rPr>
          <w:sz w:val="20"/>
          <w:szCs w:val="20"/>
          <w:color w:val="auto"/>
        </w:rPr>
      </w:pPr>
    </w:p>
    <w:p>
      <w:pPr>
        <w:ind w:left="1340" w:right="1359" w:firstLine="976"/>
        <w:spacing w:after="0" w:line="249" w:lineRule="auto"/>
        <w:tabs>
          <w:tab w:leader="none" w:pos="263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9" w:lineRule="auto"/>
        <w:tabs>
          <w:tab w:leader="none" w:pos="263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27" w:lineRule="exact"/>
        <w:rPr>
          <w:rFonts w:ascii="Times New Roman" w:cs="Times New Roman" w:eastAsia="Times New Roman" w:hAnsi="Times New Roman"/>
          <w:sz w:val="16"/>
          <w:szCs w:val="16"/>
          <w:color w:val="auto"/>
        </w:rPr>
      </w:pPr>
    </w:p>
    <w:p>
      <w:pPr>
        <w:ind w:left="1340" w:right="1359" w:firstLine="976"/>
        <w:spacing w:after="0" w:line="242" w:lineRule="auto"/>
        <w:tabs>
          <w:tab w:leader="none" w:pos="263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 w:cs="Times New Roman" w:eastAsia="Times New Roman" w:hAnsi="Times New Roman"/>
          <w:sz w:val="16"/>
          <w:szCs w:val="16"/>
          <w:b w:val="1"/>
          <w:bCs w:val="1"/>
          <w:color w:val="auto"/>
        </w:rPr>
        <w:t>Notice of Default</w:t>
      </w:r>
      <w:r>
        <w:rPr>
          <w:rFonts w:ascii="Times New Roman" w:cs="Times New Roman" w:eastAsia="Times New Roman" w:hAnsi="Times New Roman"/>
          <w:sz w:val="16"/>
          <w:szCs w:val="16"/>
          <w:color w:val="auto"/>
        </w:rPr>
        <w:t>” hereunder; or</w:t>
      </w:r>
    </w:p>
    <w:p>
      <w:pPr>
        <w:spacing w:after="0" w:line="136" w:lineRule="exact"/>
        <w:rPr>
          <w:rFonts w:ascii="Times New Roman" w:cs="Times New Roman" w:eastAsia="Times New Roman" w:hAnsi="Times New Roman"/>
          <w:sz w:val="16"/>
          <w:szCs w:val="16"/>
          <w:color w:val="auto"/>
        </w:rPr>
      </w:pPr>
    </w:p>
    <w:p>
      <w:pPr>
        <w:ind w:left="1340" w:right="1399" w:firstLine="976"/>
        <w:spacing w:after="0" w:line="244" w:lineRule="auto"/>
        <w:tabs>
          <w:tab w:leader="none" w:pos="263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200" w:lineRule="exact"/>
        <w:rPr>
          <w:rFonts w:ascii="Times New Roman" w:cs="Times New Roman" w:eastAsia="Times New Roman" w:hAnsi="Times New Roman"/>
          <w:sz w:val="16"/>
          <w:szCs w:val="16"/>
          <w:color w:val="auto"/>
        </w:rPr>
      </w:pPr>
    </w:p>
    <w:p>
      <w:pPr>
        <w:spacing w:after="0" w:line="237"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5" w:name="page86"/>
    <w:bookmarkEnd w:id="85"/>
    <w:p>
      <w:pPr>
        <w:ind w:left="1340" w:right="1359" w:firstLine="976"/>
        <w:spacing w:after="0" w:line="244" w:lineRule="auto"/>
        <w:tabs>
          <w:tab w:leader="none" w:pos="263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33"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 of Default provided for in such series of Securities.</w:t>
      </w:r>
    </w:p>
    <w:p>
      <w:pPr>
        <w:spacing w:after="0" w:line="160"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w:t>
      </w:r>
    </w:p>
    <w:p>
      <w:pPr>
        <w:spacing w:after="0" w:line="2" w:lineRule="exact"/>
        <w:rPr>
          <w:sz w:val="20"/>
          <w:szCs w:val="20"/>
          <w:color w:val="auto"/>
        </w:rPr>
      </w:pPr>
    </w:p>
    <w:p>
      <w:pPr>
        <w:ind w:left="1340" w:right="1359"/>
        <w:spacing w:after="0" w:line="239" w:lineRule="auto"/>
        <w:rPr>
          <w:sz w:val="20"/>
          <w:szCs w:val="20"/>
          <w:color w:val="auto"/>
        </w:rPr>
      </w:pPr>
      <w:r>
        <w:rPr>
          <w:rFonts w:ascii="Times New Roman" w:cs="Times New Roman" w:eastAsia="Times New Roman" w:hAnsi="Times New Roman"/>
          <w:sz w:val="16"/>
          <w:szCs w:val="16"/>
          <w:color w:val="auto"/>
        </w:rPr>
        <w:t>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35"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45" w:lineRule="exact"/>
        <w:rPr>
          <w:sz w:val="20"/>
          <w:szCs w:val="20"/>
          <w:color w:val="auto"/>
        </w:rPr>
      </w:pPr>
    </w:p>
    <w:p>
      <w:pPr>
        <w:jc w:val="both"/>
        <w:ind w:left="1340" w:right="1379" w:firstLine="486"/>
        <w:spacing w:after="0" w:line="272" w:lineRule="auto"/>
        <w:rPr>
          <w:sz w:val="20"/>
          <w:szCs w:val="20"/>
          <w:color w:val="auto"/>
        </w:rPr>
      </w:pPr>
      <w:r>
        <w:rPr>
          <w:rFonts w:ascii="Times New Roman" w:cs="Times New Roman" w:eastAsia="Times New Roman" w:hAnsi="Times New Roman"/>
          <w:sz w:val="16"/>
          <w:szCs w:val="16"/>
          <w:color w:val="auto"/>
        </w:rPr>
        <w:t>Unless otherwise indicated in the Board Resolution, Officer’s Certificate or supplemental indenture for a series of Original Issue Discount Securities, for all purposes under this Indenture,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6" w:name="page87"/>
    <w:bookmarkEnd w:id="86"/>
    <w:p>
      <w:pPr>
        <w:ind w:left="1340" w:right="1399"/>
        <w:spacing w:after="0" w:line="242" w:lineRule="auto"/>
        <w:rPr>
          <w:sz w:val="20"/>
          <w:szCs w:val="20"/>
          <w:color w:val="auto"/>
        </w:rPr>
      </w:pPr>
      <w:r>
        <w:rPr>
          <w:rFonts w:ascii="Times New Roman" w:cs="Times New Roman" w:eastAsia="Times New Roman" w:hAnsi="Times New Roman"/>
          <w:sz w:val="16"/>
          <w:szCs w:val="16"/>
          <w:color w:val="auto"/>
        </w:rPr>
        <w:t>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35"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Collection of Debt by Trustee; Trustee May Prove Debt.</w:t>
      </w:r>
      <w:r>
        <w:rPr>
          <w:rFonts w:ascii="Times New Roman" w:cs="Times New Roman" w:eastAsia="Times New Roman" w:hAnsi="Times New Roman"/>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35"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35"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7" w:name="page88"/>
    <w:bookmarkEnd w:id="87"/>
    <w:p>
      <w:pPr>
        <w:ind w:left="1340" w:right="1379" w:firstLine="1462"/>
        <w:spacing w:after="0" w:line="241" w:lineRule="auto"/>
        <w:tabs>
          <w:tab w:leader="none" w:pos="312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35" w:lineRule="exact"/>
        <w:rPr>
          <w:rFonts w:ascii="Times New Roman" w:cs="Times New Roman" w:eastAsia="Times New Roman" w:hAnsi="Times New Roman"/>
          <w:sz w:val="16"/>
          <w:szCs w:val="16"/>
          <w:color w:val="auto"/>
        </w:rPr>
      </w:pPr>
    </w:p>
    <w:p>
      <w:pPr>
        <w:ind w:left="1340" w:right="1359" w:firstLine="1462"/>
        <w:spacing w:after="0" w:line="249" w:lineRule="auto"/>
        <w:tabs>
          <w:tab w:leader="none" w:pos="312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27" w:lineRule="exact"/>
        <w:rPr>
          <w:rFonts w:ascii="Times New Roman" w:cs="Times New Roman" w:eastAsia="Times New Roman" w:hAnsi="Times New Roman"/>
          <w:sz w:val="16"/>
          <w:szCs w:val="16"/>
          <w:color w:val="auto"/>
        </w:rPr>
      </w:pPr>
    </w:p>
    <w:p>
      <w:pPr>
        <w:ind w:left="1340" w:right="1439" w:firstLine="1462"/>
        <w:spacing w:after="0" w:line="241" w:lineRule="auto"/>
        <w:tabs>
          <w:tab w:leader="none" w:pos="312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36"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34"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37" w:lineRule="exact"/>
        <w:rPr>
          <w:sz w:val="20"/>
          <w:szCs w:val="20"/>
          <w:color w:val="auto"/>
        </w:rPr>
      </w:pPr>
    </w:p>
    <w:p>
      <w:pPr>
        <w:ind w:left="1340" w:right="1819" w:firstLine="486"/>
        <w:spacing w:after="0" w:line="272" w:lineRule="auto"/>
        <w:rPr>
          <w:sz w:val="20"/>
          <w:szCs w:val="20"/>
          <w:color w:val="auto"/>
        </w:rPr>
      </w:pPr>
      <w:r>
        <w:rPr>
          <w:rFonts w:ascii="Times New Roman" w:cs="Times New Roman" w:eastAsia="Times New Roman" w:hAnsi="Times New Roman"/>
          <w:sz w:val="16"/>
          <w:szCs w:val="16"/>
          <w:color w:val="auto"/>
        </w:rPr>
        <w:t>In any proceedings brought by the Trustee (and also any proceedings involving the interpretation of any provision of this Indenture to which the Trustee shall be a party),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8" w:name="page89"/>
    <w:bookmarkEnd w:id="88"/>
    <w:p>
      <w:pPr>
        <w:ind w:left="1340" w:right="1399"/>
        <w:spacing w:after="0" w:line="255" w:lineRule="auto"/>
        <w:rPr>
          <w:sz w:val="20"/>
          <w:szCs w:val="20"/>
          <w:color w:val="auto"/>
        </w:rPr>
      </w:pPr>
      <w:r>
        <w:rPr>
          <w:rFonts w:ascii="Times New Roman" w:cs="Times New Roman" w:eastAsia="Times New Roman" w:hAnsi="Times New Roman"/>
          <w:sz w:val="16"/>
          <w:szCs w:val="16"/>
          <w:color w:val="auto"/>
        </w:rPr>
        <w:t>Trustee shall be held to represent all the Holders of the Securities in respect to which such action was taken, and it shall not be necessary to make any Holders of such Securities parties to any such proceedings.</w:t>
      </w:r>
    </w:p>
    <w:p>
      <w:pPr>
        <w:spacing w:after="0" w:line="121"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i w:val="1"/>
          <w:iCs w:val="1"/>
          <w:color w:val="auto"/>
        </w:rPr>
        <w:t>Application of Proceeds.</w:t>
      </w:r>
      <w:r>
        <w:rPr>
          <w:rFonts w:ascii="Times New Roman" w:cs="Times New Roman" w:eastAsia="Times New Roman" w:hAnsi="Times New Roman"/>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31" w:lineRule="exact"/>
        <w:rPr>
          <w:sz w:val="20"/>
          <w:szCs w:val="20"/>
          <w:color w:val="auto"/>
        </w:rPr>
      </w:pPr>
    </w:p>
    <w:p>
      <w:pPr>
        <w:ind w:left="1340" w:right="1739" w:firstLine="486"/>
        <w:spacing w:after="0" w:line="272" w:lineRule="auto"/>
        <w:rPr>
          <w:sz w:val="20"/>
          <w:szCs w:val="20"/>
          <w:color w:val="auto"/>
        </w:rPr>
      </w:pPr>
      <w:r>
        <w:rPr>
          <w:rFonts w:ascii="Times New Roman" w:cs="Times New Roman" w:eastAsia="Times New Roman" w:hAnsi="Times New Roman"/>
          <w:sz w:val="16"/>
          <w:szCs w:val="16"/>
          <w:color w:val="auto"/>
        </w:rPr>
        <w:t>FIRST: To the payment of all amounts due to the Trustee or any predecessor trustee pursuant to Section 6.06;</w:t>
      </w:r>
    </w:p>
    <w:p>
      <w:pPr>
        <w:spacing w:after="0" w:line="110"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37"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33" w:lineRule="exact"/>
        <w:rPr>
          <w:sz w:val="20"/>
          <w:szCs w:val="20"/>
          <w:color w:val="auto"/>
        </w:rPr>
      </w:pPr>
    </w:p>
    <w:p>
      <w:pPr>
        <w:ind w:left="1340" w:right="1699" w:firstLine="486"/>
        <w:spacing w:after="0" w:line="272" w:lineRule="auto"/>
        <w:rPr>
          <w:sz w:val="20"/>
          <w:szCs w:val="20"/>
          <w:color w:val="auto"/>
        </w:rPr>
      </w:pPr>
      <w:r>
        <w:rPr>
          <w:rFonts w:ascii="Times New Roman" w:cs="Times New Roman" w:eastAsia="Times New Roman" w:hAnsi="Times New Roman"/>
          <w:sz w:val="16"/>
          <w:szCs w:val="16"/>
          <w:color w:val="auto"/>
        </w:rPr>
        <w:t>FOURTH: To the payment of the remainder, if any, to the Issuer or any other Person lawfully entitled thereto.</w:t>
      </w:r>
    </w:p>
    <w:p>
      <w:pPr>
        <w:spacing w:after="0" w:line="108" w:lineRule="exact"/>
        <w:rPr>
          <w:sz w:val="20"/>
          <w:szCs w:val="20"/>
          <w:color w:val="auto"/>
        </w:rPr>
      </w:pPr>
    </w:p>
    <w:p>
      <w:pPr>
        <w:ind w:left="1340" w:right="149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i w:val="1"/>
          <w:iCs w:val="1"/>
          <w:color w:val="auto"/>
        </w:rPr>
        <w:t>Suits for Enforcement</w:t>
      </w:r>
      <w:r>
        <w:rPr>
          <w:rFonts w:ascii="Times New Roman" w:cs="Times New Roman" w:eastAsia="Times New Roman" w:hAnsi="Times New Roman"/>
          <w:sz w:val="16"/>
          <w:szCs w:val="16"/>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9" w:name="page90"/>
    <w:bookmarkEnd w:id="89"/>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5.05 </w:t>
      </w:r>
      <w:r>
        <w:rPr>
          <w:rFonts w:ascii="Times New Roman" w:cs="Times New Roman" w:eastAsia="Times New Roman" w:hAnsi="Times New Roman"/>
          <w:sz w:val="16"/>
          <w:szCs w:val="16"/>
          <w:i w:val="1"/>
          <w:iCs w:val="1"/>
          <w:color w:val="auto"/>
        </w:rPr>
        <w:t>Restoration of Rights on Abandonment of Proceedings</w:t>
      </w:r>
      <w:r>
        <w:rPr>
          <w:rFonts w:ascii="Times New Roman" w:cs="Times New Roman" w:eastAsia="Times New Roman" w:hAnsi="Times New Roman"/>
          <w:sz w:val="16"/>
          <w:szCs w:val="16"/>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29"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i w:val="1"/>
          <w:iCs w:val="1"/>
          <w:color w:val="auto"/>
        </w:rPr>
        <w:t>Limitations on Suits by Securityholders</w:t>
      </w:r>
      <w:r>
        <w:rPr>
          <w:rFonts w:ascii="Times New Roman" w:cs="Times New Roman" w:eastAsia="Times New Roman" w:hAnsi="Times New Roman"/>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307"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i w:val="1"/>
          <w:iCs w:val="1"/>
          <w:color w:val="auto"/>
        </w:rPr>
        <w:t>Unconditional Right of Securityholders to Institute Certain Suits</w:t>
      </w:r>
      <w:r>
        <w:rPr>
          <w:rFonts w:ascii="Times New Roman" w:cs="Times New Roman" w:eastAsia="Times New Roman" w:hAnsi="Times New Roman"/>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90" w:name="page91"/>
    <w:bookmarkEnd w:id="90"/>
    <w:p>
      <w:pPr>
        <w:ind w:left="1340" w:right="1359"/>
        <w:spacing w:after="0" w:line="272" w:lineRule="auto"/>
        <w:rPr>
          <w:sz w:val="20"/>
          <w:szCs w:val="20"/>
          <w:color w:val="auto"/>
        </w:rPr>
      </w:pPr>
      <w:r>
        <w:rPr>
          <w:rFonts w:ascii="Times New Roman" w:cs="Times New Roman" w:eastAsia="Times New Roman" w:hAnsi="Times New Roman"/>
          <w:sz w:val="16"/>
          <w:szCs w:val="16"/>
          <w:color w:val="auto"/>
        </w:rPr>
        <w:t>provisions of this Section, each and every Securityholder and the Trustee shall be entitled to such relief as can be given either at law or in equity.</w:t>
      </w:r>
    </w:p>
    <w:p>
      <w:pPr>
        <w:spacing w:after="0" w:line="108"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i w:val="1"/>
          <w:iCs w:val="1"/>
          <w:color w:val="auto"/>
        </w:rPr>
        <w:t>Powers and Remedies Cumulative; Delay or Omission Not Waiver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Except as provided in Section 5.06, no right or remedy herein conferred upon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33"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32"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i w:val="1"/>
          <w:iCs w:val="1"/>
          <w:color w:val="auto"/>
        </w:rPr>
        <w:t>Control by Holders of Securities</w:t>
      </w:r>
      <w:r>
        <w:rPr>
          <w:rFonts w:ascii="Times New Roman" w:cs="Times New Roman" w:eastAsia="Times New Roman" w:hAnsi="Times New Roman"/>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direction shall not be otherwise than in accordance with law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36"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Nothing in this Indenture shall impair the right of the Trustee in its discretion to take any action deemed proper by the Trustee and which is not inconsistent with such direction or directions by Securityholders.</w:t>
      </w:r>
    </w:p>
    <w:p>
      <w:pPr>
        <w:spacing w:after="0" w:line="121" w:lineRule="exact"/>
        <w:rPr>
          <w:sz w:val="20"/>
          <w:szCs w:val="20"/>
          <w:color w:val="auto"/>
        </w:rPr>
      </w:pPr>
    </w:p>
    <w:p>
      <w:pPr>
        <w:ind w:left="1340" w:right="13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i w:val="1"/>
          <w:iCs w:val="1"/>
          <w:color w:val="auto"/>
        </w:rPr>
        <w:t>Waiver of Past Defaults</w:t>
      </w:r>
      <w:r>
        <w:rPr>
          <w:rFonts w:ascii="Times New Roman" w:cs="Times New Roman" w:eastAsia="Times New Roman" w:hAnsi="Times New Roman"/>
          <w:sz w:val="16"/>
          <w:szCs w:val="16"/>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1" w:name="page92"/>
    <w:bookmarkEnd w:id="91"/>
    <w:p>
      <w:pPr>
        <w:ind w:left="1340" w:right="1499"/>
        <w:spacing w:after="0" w:line="242" w:lineRule="auto"/>
        <w:rPr>
          <w:sz w:val="20"/>
          <w:szCs w:val="20"/>
          <w:color w:val="auto"/>
        </w:rPr>
      </w:pPr>
      <w:r>
        <w:rPr>
          <w:rFonts w:ascii="Times New Roman" w:cs="Times New Roman" w:eastAsia="Times New Roman" w:hAnsi="Times New Roman"/>
          <w:sz w:val="16"/>
          <w:szCs w:val="16"/>
          <w:color w:val="auto"/>
        </w:rPr>
        <w:t>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35" w:lineRule="exact"/>
        <w:rPr>
          <w:sz w:val="20"/>
          <w:szCs w:val="20"/>
          <w:color w:val="auto"/>
        </w:rPr>
      </w:pPr>
    </w:p>
    <w:p>
      <w:pPr>
        <w:ind w:left="1340" w:right="1439" w:firstLine="486"/>
        <w:spacing w:after="0"/>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i w:val="1"/>
          <w:iCs w:val="1"/>
          <w:color w:val="auto"/>
        </w:rPr>
        <w:t>Trustee to Give Notice of Default</w:t>
      </w:r>
      <w:r>
        <w:rPr>
          <w:rFonts w:ascii="Times New Roman" w:cs="Times New Roman" w:eastAsia="Times New Roman" w:hAnsi="Times New Roman"/>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 w:cs="Times New Roman" w:eastAsia="Times New Roman" w:hAnsi="Times New Roman"/>
          <w:sz w:val="16"/>
          <w:szCs w:val="16"/>
          <w:b w:val="1"/>
          <w:bCs w:val="1"/>
          <w:color w:val="auto"/>
        </w:rPr>
        <w:t>defaults</w:t>
      </w:r>
      <w:r>
        <w:rPr>
          <w:rFonts w:ascii="Times New Roman" w:cs="Times New Roman" w:eastAsia="Times New Roman" w:hAnsi="Times New Roman"/>
          <w:sz w:val="16"/>
          <w:szCs w:val="16"/>
          <w:color w:val="auto"/>
        </w:rPr>
        <w:t xml:space="preserve">” for the purpose of this Section being hereby defined to mean any event or condition which is, or with notice or lapse of time or both would become, an Event of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4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i w:val="1"/>
          <w:iCs w:val="1"/>
          <w:color w:val="auto"/>
        </w:rPr>
        <w:t>Right of Court to Require Filing of Undertaking to Pay Costs</w:t>
      </w:r>
      <w:r>
        <w:rPr>
          <w:rFonts w:ascii="Times New Roman" w:cs="Times New Roman" w:eastAsia="Times New Roman" w:hAnsi="Times New Roman"/>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6</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TRUSTEE</w:t>
      </w:r>
    </w:p>
    <w:p>
      <w:pPr>
        <w:spacing w:after="0" w:line="140" w:lineRule="exact"/>
        <w:rPr>
          <w:sz w:val="20"/>
          <w:szCs w:val="20"/>
          <w:color w:val="auto"/>
        </w:rPr>
      </w:pPr>
    </w:p>
    <w:p>
      <w:pPr>
        <w:ind w:left="1340" w:right="137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Duties and Responsibilities of the Trustee; During Default; Prior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Default. </w:t>
      </w:r>
      <w:r>
        <w:rPr>
          <w:rFonts w:ascii="Times New Roman" w:cs="Times New Roman" w:eastAsia="Times New Roman" w:hAnsi="Times New Roman"/>
          <w:sz w:val="16"/>
          <w:szCs w:val="16"/>
          <w:color w:val="auto"/>
        </w:rPr>
        <w:t>With respect to the Holders of any series of Securities issued hereunder, the Trustee,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2" w:name="page93"/>
    <w:bookmarkEnd w:id="92"/>
    <w:p>
      <w:pPr>
        <w:ind w:left="1340" w:right="1539"/>
        <w:spacing w:after="0" w:line="249" w:lineRule="auto"/>
        <w:rPr>
          <w:sz w:val="20"/>
          <w:szCs w:val="20"/>
          <w:color w:val="auto"/>
        </w:rPr>
      </w:pPr>
      <w:r>
        <w:rPr>
          <w:rFonts w:ascii="Times New Roman" w:cs="Times New Roman" w:eastAsia="Times New Roman" w:hAnsi="Times New Roman"/>
          <w:sz w:val="16"/>
          <w:szCs w:val="16"/>
          <w:color w:val="auto"/>
        </w:rPr>
        <w:t>(and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28" w:lineRule="exact"/>
        <w:rPr>
          <w:sz w:val="20"/>
          <w:szCs w:val="20"/>
          <w:color w:val="auto"/>
        </w:rPr>
      </w:pPr>
    </w:p>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negligent action, its own negligent failure to act or its own willful misconduct.</w:t>
      </w:r>
    </w:p>
    <w:p>
      <w:pPr>
        <w:spacing w:after="0" w:line="108" w:lineRule="exact"/>
        <w:rPr>
          <w:sz w:val="20"/>
          <w:szCs w:val="20"/>
          <w:color w:val="auto"/>
        </w:rPr>
      </w:pPr>
    </w:p>
    <w:p>
      <w:pPr>
        <w:ind w:left="1340" w:right="155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Certain Rights of the Trustee.</w:t>
      </w:r>
      <w:r>
        <w:rPr>
          <w:rFonts w:ascii="Times New Roman" w:cs="Times New Roman" w:eastAsia="Times New Roman" w:hAnsi="Times New Roman"/>
          <w:sz w:val="16"/>
          <w:szCs w:val="16"/>
          <w:color w:val="auto"/>
        </w:rPr>
        <w:t xml:space="preserve"> In furtherance of and subject to the Trust Indenture Act of 1939 and subject to Section 6.01:</w:t>
      </w:r>
    </w:p>
    <w:p>
      <w:pPr>
        <w:spacing w:after="0" w:line="109" w:lineRule="exact"/>
        <w:rPr>
          <w:sz w:val="20"/>
          <w:szCs w:val="20"/>
          <w:color w:val="auto"/>
        </w:rPr>
      </w:pPr>
    </w:p>
    <w:p>
      <w:pPr>
        <w:ind w:left="1340" w:right="1439" w:firstLine="976"/>
        <w:spacing w:after="0" w:line="243"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34" w:lineRule="exact"/>
        <w:rPr>
          <w:rFonts w:ascii="Times New Roman" w:cs="Times New Roman" w:eastAsia="Times New Roman" w:hAnsi="Times New Roman"/>
          <w:sz w:val="16"/>
          <w:szCs w:val="16"/>
          <w:color w:val="auto"/>
        </w:rPr>
      </w:pPr>
    </w:p>
    <w:p>
      <w:pPr>
        <w:ind w:left="1340" w:right="1359" w:firstLine="976"/>
        <w:spacing w:after="0" w:line="255"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46"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6"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6"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9"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200" w:lineRule="exact"/>
        <w:rPr>
          <w:rFonts w:ascii="Times New Roman" w:cs="Times New Roman" w:eastAsia="Times New Roman" w:hAnsi="Times New Roman"/>
          <w:sz w:val="16"/>
          <w:szCs w:val="16"/>
          <w:color w:val="auto"/>
        </w:rPr>
      </w:pPr>
    </w:p>
    <w:p>
      <w:pPr>
        <w:spacing w:after="0" w:line="231"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3" w:name="page94"/>
    <w:bookmarkEnd w:id="93"/>
    <w:p>
      <w:pPr>
        <w:jc w:val="both"/>
        <w:ind w:left="1340" w:right="1399" w:firstLine="976"/>
        <w:spacing w:after="0" w:line="249" w:lineRule="auto"/>
        <w:tabs>
          <w:tab w:leader="none" w:pos="26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7" w:lineRule="exact"/>
        <w:rPr>
          <w:rFonts w:ascii="Times New Roman" w:cs="Times New Roman" w:eastAsia="Times New Roman" w:hAnsi="Times New Roman"/>
          <w:sz w:val="16"/>
          <w:szCs w:val="16"/>
          <w:color w:val="auto"/>
        </w:rPr>
      </w:pPr>
    </w:p>
    <w:p>
      <w:pPr>
        <w:ind w:left="1340" w:right="1599" w:firstLine="976"/>
        <w:spacing w:after="0" w:line="246" w:lineRule="auto"/>
        <w:tabs>
          <w:tab w:leader="none" w:pos="26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130" w:lineRule="exact"/>
        <w:rPr>
          <w:rFonts w:ascii="Times New Roman" w:cs="Times New Roman" w:eastAsia="Times New Roman" w:hAnsi="Times New Roman"/>
          <w:sz w:val="16"/>
          <w:szCs w:val="16"/>
          <w:color w:val="auto"/>
        </w:rPr>
      </w:pPr>
    </w:p>
    <w:p>
      <w:pPr>
        <w:ind w:left="1340" w:right="1379" w:firstLine="976"/>
        <w:spacing w:after="0" w:line="255" w:lineRule="auto"/>
        <w:tabs>
          <w:tab w:leader="none" w:pos="26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or omitted by it in good faith and believed by it to be authorized or within the discretion, rights or powers conferred upon it by this Indenture;</w:t>
      </w:r>
    </w:p>
    <w:p>
      <w:pPr>
        <w:spacing w:after="0" w:line="122" w:lineRule="exact"/>
        <w:rPr>
          <w:rFonts w:ascii="Times New Roman" w:cs="Times New Roman" w:eastAsia="Times New Roman" w:hAnsi="Times New Roman"/>
          <w:sz w:val="16"/>
          <w:szCs w:val="16"/>
          <w:color w:val="auto"/>
        </w:rPr>
      </w:pPr>
    </w:p>
    <w:p>
      <w:pPr>
        <w:ind w:left="1340" w:right="1379" w:firstLine="976"/>
        <w:spacing w:after="0" w:line="241" w:lineRule="auto"/>
        <w:tabs>
          <w:tab w:leader="none" w:pos="26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33" w:lineRule="exact"/>
        <w:rPr>
          <w:rFonts w:ascii="Times New Roman" w:cs="Times New Roman" w:eastAsia="Times New Roman" w:hAnsi="Times New Roman"/>
          <w:sz w:val="16"/>
          <w:szCs w:val="16"/>
          <w:color w:val="auto"/>
        </w:rPr>
      </w:pPr>
    </w:p>
    <w:p>
      <w:pPr>
        <w:ind w:left="1340" w:right="1459" w:firstLine="976"/>
        <w:spacing w:after="0" w:line="249" w:lineRule="auto"/>
        <w:tabs>
          <w:tab w:leader="none" w:pos="26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26"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6.03 </w:t>
      </w:r>
      <w:r>
        <w:rPr>
          <w:rFonts w:ascii="Times New Roman" w:cs="Times New Roman" w:eastAsia="Times New Roman" w:hAnsi="Times New Roman"/>
          <w:sz w:val="16"/>
          <w:szCs w:val="16"/>
          <w:i w:val="1"/>
          <w:iCs w:val="1"/>
          <w:color w:val="auto"/>
        </w:rPr>
        <w:t>Trustee Not Responsible for Recitals, Disposition of Securities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Application of Proceeds Thereof. </w:t>
      </w:r>
      <w:r>
        <w:rPr>
          <w:rFonts w:ascii="Times New Roman" w:cs="Times New Roman" w:eastAsia="Times New Roman" w:hAnsi="Times New Roman"/>
          <w:sz w:val="16"/>
          <w:szCs w:val="16"/>
          <w:color w:val="auto"/>
        </w:rPr>
        <w:t>The recitals contained herein and in the Securities, except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29" w:lineRule="exact"/>
        <w:rPr>
          <w:sz w:val="20"/>
          <w:szCs w:val="20"/>
          <w:color w:val="auto"/>
        </w:rPr>
      </w:pPr>
    </w:p>
    <w:p>
      <w:pPr>
        <w:ind w:left="1340" w:right="13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Trustee and Agents May Hold Securities; Collections, Etc.</w:t>
      </w:r>
      <w:r>
        <w:rPr>
          <w:rFonts w:ascii="Times New Roman" w:cs="Times New Roman" w:eastAsia="Times New Roman" w:hAnsi="Times New Roman"/>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4" w:name="page95"/>
    <w:bookmarkEnd w:id="94"/>
    <w:p>
      <w:pPr>
        <w:ind w:left="1340" w:right="1519"/>
        <w:spacing w:after="0" w:line="272" w:lineRule="auto"/>
        <w:rPr>
          <w:sz w:val="20"/>
          <w:szCs w:val="20"/>
          <w:color w:val="auto"/>
        </w:rPr>
      </w:pPr>
      <w:r>
        <w:rPr>
          <w:rFonts w:ascii="Times New Roman" w:cs="Times New Roman" w:eastAsia="Times New Roman" w:hAnsi="Times New Roman"/>
          <w:sz w:val="16"/>
          <w:szCs w:val="16"/>
          <w:color w:val="auto"/>
        </w:rPr>
        <w:t>collections from the Issuer with the same rights it would have if it were not the Trustee or such agent.</w:t>
      </w:r>
    </w:p>
    <w:p>
      <w:pPr>
        <w:spacing w:after="0" w:line="108" w:lineRule="exact"/>
        <w:rPr>
          <w:sz w:val="20"/>
          <w:szCs w:val="20"/>
          <w:color w:val="auto"/>
        </w:rPr>
      </w:pPr>
    </w:p>
    <w:p>
      <w:pPr>
        <w:ind w:left="1340" w:right="13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Moneys Held by Trustee.</w:t>
      </w:r>
      <w:r>
        <w:rPr>
          <w:rFonts w:ascii="Times New Roman" w:cs="Times New Roman" w:eastAsia="Times New Roman" w:hAnsi="Times New Roman"/>
          <w:sz w:val="16"/>
          <w:szCs w:val="16"/>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29" w:lineRule="exact"/>
        <w:rPr>
          <w:sz w:val="20"/>
          <w:szCs w:val="20"/>
          <w:color w:val="auto"/>
        </w:rPr>
      </w:pPr>
    </w:p>
    <w:p>
      <w:pPr>
        <w:ind w:left="1340" w:right="137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Compensation and Indemnification of Trustee and Its Prior Claim.</w:t>
      </w:r>
      <w:r>
        <w:rPr>
          <w:rFonts w:ascii="Times New Roman" w:cs="Times New Roman" w:eastAsia="Times New Roman" w:hAnsi="Times New Roman"/>
          <w:sz w:val="16"/>
          <w:szCs w:val="16"/>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43"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Right of Trustee to Rely on Officer’s Certificate, Etc.</w:t>
      </w:r>
      <w:r>
        <w:rPr>
          <w:rFonts w:ascii="Times New Roman" w:cs="Times New Roman" w:eastAsia="Times New Roman" w:hAnsi="Times New Roman"/>
          <w:sz w:val="16"/>
          <w:szCs w:val="16"/>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34"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Disqualification; Conflicting Interests.</w:t>
      </w:r>
      <w:r>
        <w:rPr>
          <w:rFonts w:ascii="Times New Roman" w:cs="Times New Roman" w:eastAsia="Times New Roman" w:hAnsi="Times New Roman"/>
          <w:sz w:val="16"/>
          <w:szCs w:val="16"/>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5" w:name="page96"/>
    <w:bookmarkEnd w:id="95"/>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6.09 </w:t>
      </w:r>
      <w:r>
        <w:rPr>
          <w:rFonts w:ascii="Times New Roman" w:cs="Times New Roman" w:eastAsia="Times New Roman" w:hAnsi="Times New Roman"/>
          <w:sz w:val="16"/>
          <w:szCs w:val="16"/>
          <w:i w:val="1"/>
          <w:iCs w:val="1"/>
          <w:color w:val="auto"/>
        </w:rPr>
        <w:t>Persons Eligible for Appointment as Trustee.</w:t>
      </w:r>
      <w:r>
        <w:rPr>
          <w:rFonts w:ascii="Times New Roman" w:cs="Times New Roman" w:eastAsia="Times New Roman" w:hAnsi="Times New Roman"/>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3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Resignation and Removal; Appointment of Successor Trustee.</w:t>
      </w:r>
      <w:r>
        <w:rPr>
          <w:rFonts w:ascii="Times New Roman" w:cs="Times New Roman" w:eastAsia="Times New Roman" w:hAnsi="Times New Roman"/>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38" w:lineRule="exact"/>
        <w:rPr>
          <w:sz w:val="20"/>
          <w:szCs w:val="20"/>
          <w:color w:val="auto"/>
        </w:rPr>
      </w:pPr>
    </w:p>
    <w:p>
      <w:pPr>
        <w:ind w:left="2640" w:hanging="324"/>
        <w:spacing w:after="0"/>
        <w:tabs>
          <w:tab w:leader="none" w:pos="26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49" w:lineRule="auto"/>
        <w:tabs>
          <w:tab w:leader="none" w:pos="312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27" w:lineRule="exact"/>
        <w:rPr>
          <w:rFonts w:ascii="Times New Roman" w:cs="Times New Roman" w:eastAsia="Times New Roman" w:hAnsi="Times New Roman"/>
          <w:sz w:val="16"/>
          <w:szCs w:val="16"/>
          <w:color w:val="auto"/>
        </w:rPr>
      </w:pPr>
    </w:p>
    <w:p>
      <w:pPr>
        <w:ind w:left="1340" w:right="1739" w:firstLine="1462"/>
        <w:spacing w:after="0" w:line="255" w:lineRule="auto"/>
        <w:tabs>
          <w:tab w:leader="none" w:pos="312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22" w:lineRule="exact"/>
        <w:rPr>
          <w:rFonts w:ascii="Times New Roman" w:cs="Times New Roman" w:eastAsia="Times New Roman" w:hAnsi="Times New Roman"/>
          <w:sz w:val="16"/>
          <w:szCs w:val="16"/>
          <w:color w:val="auto"/>
        </w:rPr>
      </w:pPr>
    </w:p>
    <w:p>
      <w:pPr>
        <w:ind w:left="1340" w:right="1439" w:firstLine="1462"/>
        <w:spacing w:after="0" w:line="246" w:lineRule="auto"/>
        <w:tabs>
          <w:tab w:leader="none" w:pos="312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31" w:lineRule="exact"/>
        <w:rPr>
          <w:sz w:val="20"/>
          <w:szCs w:val="20"/>
          <w:color w:val="auto"/>
        </w:rPr>
      </w:pPr>
    </w:p>
    <w:p>
      <w:pPr>
        <w:ind w:left="1340" w:right="1619"/>
        <w:spacing w:after="0" w:line="249" w:lineRule="auto"/>
        <w:rPr>
          <w:sz w:val="20"/>
          <w:szCs w:val="20"/>
          <w:color w:val="auto"/>
        </w:rPr>
      </w:pPr>
      <w:r>
        <w:rPr>
          <w:rFonts w:ascii="Times New Roman" w:cs="Times New Roman" w:eastAsia="Times New Roman" w:hAnsi="Times New Roman"/>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96" w:name="page97"/>
    <w:bookmarkEnd w:id="96"/>
    <w:p>
      <w:pPr>
        <w:ind w:left="1340" w:right="1459"/>
        <w:spacing w:after="0" w:line="244" w:lineRule="auto"/>
        <w:rPr>
          <w:sz w:val="20"/>
          <w:szCs w:val="20"/>
          <w:color w:val="auto"/>
        </w:rPr>
      </w:pPr>
      <w:r>
        <w:rPr>
          <w:rFonts w:ascii="Times New Roman" w:cs="Times New Roman" w:eastAsia="Times New Roman" w:hAnsi="Times New Roman"/>
          <w:sz w:val="16"/>
          <w:szCs w:val="16"/>
          <w:color w:val="auto"/>
        </w:rPr>
        <w:t>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34" w:lineRule="exact"/>
        <w:rPr>
          <w:sz w:val="20"/>
          <w:szCs w:val="20"/>
          <w:color w:val="auto"/>
        </w:rPr>
      </w:pPr>
    </w:p>
    <w:p>
      <w:pPr>
        <w:ind w:left="1340" w:right="1359" w:firstLine="976"/>
        <w:spacing w:after="0" w:line="244" w:lineRule="auto"/>
        <w:tabs>
          <w:tab w:leader="none" w:pos="263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33" w:lineRule="exact"/>
        <w:rPr>
          <w:rFonts w:ascii="Times New Roman" w:cs="Times New Roman" w:eastAsia="Times New Roman" w:hAnsi="Times New Roman"/>
          <w:sz w:val="16"/>
          <w:szCs w:val="16"/>
          <w:color w:val="auto"/>
        </w:rPr>
      </w:pPr>
    </w:p>
    <w:p>
      <w:pPr>
        <w:ind w:left="1340" w:right="1359" w:firstLine="976"/>
        <w:spacing w:after="0" w:line="249" w:lineRule="auto"/>
        <w:tabs>
          <w:tab w:leader="none" w:pos="263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26"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Acceptance of Appointment by Successor Trustee.</w:t>
      </w:r>
      <w:r>
        <w:rPr>
          <w:rFonts w:ascii="Times New Roman" w:cs="Times New Roman" w:eastAsia="Times New Roman" w:hAnsi="Times New Roman"/>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38"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7" w:name="page98"/>
    <w:bookmarkEnd w:id="97"/>
    <w:p>
      <w:pPr>
        <w:ind w:left="1340" w:right="1359" w:firstLine="486"/>
        <w:spacing w:after="0" w:line="249" w:lineRule="auto"/>
        <w:rPr>
          <w:sz w:val="20"/>
          <w:szCs w:val="20"/>
          <w:color w:val="auto"/>
        </w:rPr>
      </w:pPr>
      <w:r>
        <w:rPr>
          <w:rFonts w:ascii="Times New Roman" w:cs="Times New Roman" w:eastAsia="Times New Roman" w:hAnsi="Times New Roman"/>
          <w:sz w:val="16"/>
          <w:szCs w:val="16"/>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2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Upon acceptance of appointment by any successor trustee as provided in this Section</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6.11, the Issuer shall deliver notice thereof to the Holders of Securities of each series affected, by</w:t>
      </w:r>
    </w:p>
    <w:p>
      <w:pPr>
        <w:ind w:left="1340"/>
        <w:spacing w:after="0" w:line="237" w:lineRule="auto"/>
        <w:rPr>
          <w:sz w:val="20"/>
          <w:szCs w:val="20"/>
          <w:color w:val="auto"/>
        </w:rPr>
      </w:pPr>
      <w:r>
        <w:rPr>
          <w:rFonts w:ascii="Times New Roman" w:cs="Times New Roman" w:eastAsia="Times New Roman" w:hAnsi="Times New Roman"/>
          <w:sz w:val="16"/>
          <w:szCs w:val="16"/>
          <w:color w:val="auto"/>
        </w:rPr>
        <w:t>delivering such notice to such Holders at their addresses as they shall appear on the Security</w:t>
      </w:r>
    </w:p>
    <w:p>
      <w:pPr>
        <w:ind w:left="1340"/>
        <w:spacing w:after="0"/>
        <w:rPr>
          <w:sz w:val="20"/>
          <w:szCs w:val="20"/>
          <w:color w:val="auto"/>
        </w:rPr>
      </w:pPr>
      <w:r>
        <w:rPr>
          <w:rFonts w:ascii="Times New Roman" w:cs="Times New Roman" w:eastAsia="Times New Roman" w:hAnsi="Times New Roman"/>
          <w:sz w:val="16"/>
          <w:szCs w:val="16"/>
          <w:color w:val="auto"/>
        </w:rPr>
        <w:t>register. If the acceptance of appointment is substantially contemporaneous with the resignation,</w:t>
      </w:r>
    </w:p>
    <w:p>
      <w:pPr>
        <w:ind w:left="1340"/>
        <w:spacing w:after="0" w:line="237" w:lineRule="auto"/>
        <w:rPr>
          <w:sz w:val="20"/>
          <w:szCs w:val="20"/>
          <w:color w:val="auto"/>
        </w:rPr>
      </w:pPr>
      <w:r>
        <w:rPr>
          <w:rFonts w:ascii="Times New Roman" w:cs="Times New Roman" w:eastAsia="Times New Roman" w:hAnsi="Times New Roman"/>
          <w:sz w:val="16"/>
          <w:szCs w:val="16"/>
          <w:color w:val="auto"/>
        </w:rPr>
        <w:t>then the notice called for by the preceding sentence may be combined with the notice called for</w:t>
      </w:r>
    </w:p>
    <w:p>
      <w:pPr>
        <w:ind w:left="1340"/>
        <w:spacing w:after="0"/>
        <w:rPr>
          <w:sz w:val="20"/>
          <w:szCs w:val="20"/>
          <w:color w:val="auto"/>
        </w:rPr>
      </w:pPr>
      <w:r>
        <w:rPr>
          <w:rFonts w:ascii="Times New Roman" w:cs="Times New Roman" w:eastAsia="Times New Roman" w:hAnsi="Times New Roman"/>
          <w:sz w:val="16"/>
          <w:szCs w:val="16"/>
          <w:color w:val="auto"/>
        </w:rPr>
        <w:t>by Section 6.10. If the Issuer fails to deliver such notice within ten days after acceptance of</w:t>
      </w:r>
    </w:p>
    <w:p>
      <w:pPr>
        <w:ind w:left="1340"/>
        <w:spacing w:after="0" w:line="237" w:lineRule="auto"/>
        <w:rPr>
          <w:sz w:val="20"/>
          <w:szCs w:val="20"/>
          <w:color w:val="auto"/>
        </w:rPr>
      </w:pPr>
      <w:r>
        <w:rPr>
          <w:rFonts w:ascii="Times New Roman" w:cs="Times New Roman" w:eastAsia="Times New Roman" w:hAnsi="Times New Roman"/>
          <w:sz w:val="16"/>
          <w:szCs w:val="16"/>
          <w:color w:val="auto"/>
        </w:rPr>
        <w:t>appointment by the successor trustee, the successor trustee shall cause such notice to be given at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the expense of the Issuer.</w:t>
      </w:r>
    </w:p>
    <w:p>
      <w:pPr>
        <w:spacing w:after="0" w:line="140"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i w:val="1"/>
          <w:iCs w:val="1"/>
          <w:color w:val="auto"/>
        </w:rPr>
        <w:t>Merger, Conversion, Consolidation or Succession to Business of Trustee.</w:t>
      </w:r>
      <w:r>
        <w:rPr>
          <w:rFonts w:ascii="Times New Roman" w:cs="Times New Roman" w:eastAsia="Times New Roman" w:hAnsi="Times New Roman"/>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36"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34"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6.13 </w:t>
      </w:r>
      <w:r>
        <w:rPr>
          <w:rFonts w:ascii="Times New Roman" w:cs="Times New Roman" w:eastAsia="Times New Roman" w:hAnsi="Times New Roman"/>
          <w:sz w:val="16"/>
          <w:szCs w:val="16"/>
          <w:i w:val="1"/>
          <w:iCs w:val="1"/>
          <w:color w:val="auto"/>
        </w:rPr>
        <w:t>Preferential Collection of Claims Against the Issuer</w:t>
      </w:r>
      <w:r>
        <w:rPr>
          <w:rFonts w:ascii="Times New Roman" w:cs="Times New Roman" w:eastAsia="Times New Roman" w:hAnsi="Times New Roman"/>
          <w:sz w:val="16"/>
          <w:szCs w:val="16"/>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7</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SECURITYHOLDERS</w:t>
      </w:r>
    </w:p>
    <w:p>
      <w:pPr>
        <w:spacing w:after="0" w:line="140"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Evidence of Action Taken by Securityholders.</w:t>
      </w:r>
      <w:r>
        <w:rPr>
          <w:rFonts w:ascii="Times New Roman" w:cs="Times New Roman" w:eastAsia="Times New Roman" w:hAnsi="Times New Roman"/>
          <w:sz w:val="16"/>
          <w:szCs w:val="16"/>
          <w:color w:val="auto"/>
        </w:rPr>
        <w:t xml:space="preserve"> Any request, demand, authorization, direction, notice, consent, waiver or other action provided by this Indenture to be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8" w:name="page99"/>
    <w:bookmarkEnd w:id="98"/>
    <w:p>
      <w:pPr>
        <w:ind w:left="1340" w:right="1459"/>
        <w:spacing w:after="0" w:line="242" w:lineRule="auto"/>
        <w:rPr>
          <w:sz w:val="20"/>
          <w:szCs w:val="20"/>
          <w:color w:val="auto"/>
        </w:rPr>
      </w:pPr>
      <w:r>
        <w:rPr>
          <w:rFonts w:ascii="Times New Roman" w:cs="Times New Roman" w:eastAsia="Times New Roman" w:hAnsi="Times New Roman"/>
          <w:sz w:val="16"/>
          <w:szCs w:val="16"/>
          <w:color w:val="auto"/>
        </w:rPr>
        <w:t>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35"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Proof of Execution of Instruments and of Holding of Securities.</w:t>
      </w:r>
      <w:r>
        <w:rPr>
          <w:rFonts w:ascii="Times New Roman" w:cs="Times New Roman" w:eastAsia="Times New Roman" w:hAnsi="Times New Roman"/>
          <w:sz w:val="16"/>
          <w:szCs w:val="16"/>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41"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Holders to Be Treated as Owners.</w:t>
      </w:r>
      <w:r>
        <w:rPr>
          <w:rFonts w:ascii="Times New Roman" w:cs="Times New Roman" w:eastAsia="Times New Roman" w:hAnsi="Times New Roman"/>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38"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Securities Owned by Issuer Deemed Not Outstanding.</w:t>
      </w:r>
      <w:r>
        <w:rPr>
          <w:rFonts w:ascii="Times New Roman" w:cs="Times New Roman" w:eastAsia="Times New Roman" w:hAnsi="Times New Roman"/>
          <w:sz w:val="16"/>
          <w:szCs w:val="16"/>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9" w:name="page100"/>
    <w:bookmarkEnd w:id="99"/>
    <w:p>
      <w:pPr>
        <w:ind w:left="1340" w:right="1439"/>
        <w:spacing w:after="0" w:line="249" w:lineRule="auto"/>
        <w:rPr>
          <w:sz w:val="20"/>
          <w:szCs w:val="20"/>
          <w:color w:val="auto"/>
        </w:rPr>
      </w:pPr>
      <w:r>
        <w:rPr>
          <w:rFonts w:ascii="Times New Roman" w:cs="Times New Roman" w:eastAsia="Times New Roman" w:hAnsi="Times New Roman"/>
          <w:sz w:val="16"/>
          <w:szCs w:val="16"/>
          <w:color w:val="auto"/>
        </w:rPr>
        <w:t>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26"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Right of Revocation of Action Taken.</w:t>
      </w:r>
      <w:r>
        <w:rPr>
          <w:rFonts w:ascii="Times New Roman" w:cs="Times New Roman" w:eastAsia="Times New Roman" w:hAnsi="Times New Roman"/>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8</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SUPPLEMENTAL INDENTURES</w:t>
      </w:r>
    </w:p>
    <w:p>
      <w:pPr>
        <w:spacing w:after="0" w:line="140"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Supplemental Indentures Without Consent of Securityholders.</w:t>
      </w:r>
      <w:r>
        <w:rPr>
          <w:rFonts w:ascii="Times New Roman" w:cs="Times New Roman" w:eastAsia="Times New Roman" w:hAnsi="Times New Roman"/>
          <w:sz w:val="16"/>
          <w:szCs w:val="16"/>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29" w:lineRule="exact"/>
        <w:rPr>
          <w:sz w:val="20"/>
          <w:szCs w:val="20"/>
          <w:color w:val="auto"/>
        </w:rPr>
      </w:pPr>
    </w:p>
    <w:p>
      <w:pPr>
        <w:ind w:left="1340" w:right="1459" w:firstLine="976"/>
        <w:spacing w:after="0" w:line="272"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convey, transfer, assign, mortgage or pledge to the Trustee as security for the Securities of one or more series any property or assets;</w:t>
      </w:r>
    </w:p>
    <w:p>
      <w:pPr>
        <w:spacing w:after="0" w:line="109" w:lineRule="exact"/>
        <w:rPr>
          <w:rFonts w:ascii="Times New Roman" w:cs="Times New Roman" w:eastAsia="Times New Roman" w:hAnsi="Times New Roman"/>
          <w:sz w:val="16"/>
          <w:szCs w:val="16"/>
          <w:color w:val="auto"/>
        </w:rPr>
      </w:pPr>
    </w:p>
    <w:p>
      <w:pPr>
        <w:ind w:left="1340" w:right="1419" w:firstLine="976"/>
        <w:spacing w:after="0" w:line="255"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72"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the requirements of the Commission in order to effect or maintain the qualification of this Indenture under the Trust Indenture Act of 1939, as amended;</w:t>
      </w:r>
    </w:p>
    <w:p>
      <w:pPr>
        <w:spacing w:after="0" w:line="109" w:lineRule="exact"/>
        <w:rPr>
          <w:rFonts w:ascii="Times New Roman" w:cs="Times New Roman" w:eastAsia="Times New Roman" w:hAnsi="Times New Roman"/>
          <w:sz w:val="16"/>
          <w:szCs w:val="16"/>
          <w:color w:val="auto"/>
        </w:rPr>
      </w:pPr>
    </w:p>
    <w:p>
      <w:pPr>
        <w:ind w:left="1340" w:right="1439" w:firstLine="976"/>
        <w:spacing w:after="0" w:line="243"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respect of any such additional covenant, restriction, condition or provision such supplemental indenture may provide for a particular</w:t>
      </w:r>
    </w:p>
    <w:p>
      <w:pPr>
        <w:spacing w:after="0" w:line="200" w:lineRule="exact"/>
        <w:rPr>
          <w:rFonts w:ascii="Times New Roman" w:cs="Times New Roman" w:eastAsia="Times New Roman" w:hAnsi="Times New Roman"/>
          <w:sz w:val="16"/>
          <w:szCs w:val="16"/>
          <w:color w:val="auto"/>
        </w:rPr>
      </w:pPr>
    </w:p>
    <w:p>
      <w:pPr>
        <w:spacing w:after="0" w:line="238"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0" w:name="page101"/>
    <w:bookmarkEnd w:id="100"/>
    <w:p>
      <w:pPr>
        <w:ind w:left="1340" w:right="1359"/>
        <w:spacing w:after="0" w:line="246" w:lineRule="auto"/>
        <w:rPr>
          <w:sz w:val="20"/>
          <w:szCs w:val="20"/>
          <w:color w:val="auto"/>
        </w:rPr>
      </w:pPr>
      <w:r>
        <w:rPr>
          <w:rFonts w:ascii="Times New Roman" w:cs="Times New Roman" w:eastAsia="Times New Roman" w:hAnsi="Times New Roman"/>
          <w:sz w:val="16"/>
          <w:szCs w:val="16"/>
          <w:color w:val="auto"/>
        </w:rPr>
        <w:t>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31" w:lineRule="exact"/>
        <w:rPr>
          <w:sz w:val="20"/>
          <w:szCs w:val="20"/>
          <w:color w:val="auto"/>
        </w:rPr>
      </w:pPr>
    </w:p>
    <w:p>
      <w:pPr>
        <w:ind w:left="1340" w:right="1479" w:firstLine="976"/>
        <w:spacing w:after="0" w:line="255" w:lineRule="auto"/>
        <w:tabs>
          <w:tab w:leader="none" w:pos="263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22"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or add for the Securities of one or more series;</w:t>
      </w:r>
    </w:p>
    <w:p>
      <w:pPr>
        <w:spacing w:after="0" w:line="160" w:lineRule="exact"/>
        <w:rPr>
          <w:rFonts w:ascii="Times New Roman" w:cs="Times New Roman" w:eastAsia="Times New Roman" w:hAnsi="Times New Roman"/>
          <w:sz w:val="16"/>
          <w:szCs w:val="16"/>
          <w:color w:val="auto"/>
        </w:rPr>
      </w:pPr>
    </w:p>
    <w:p>
      <w:pPr>
        <w:ind w:left="1340" w:right="1719" w:firstLine="976"/>
        <w:spacing w:after="0" w:line="272" w:lineRule="auto"/>
        <w:tabs>
          <w:tab w:leader="none" w:pos="263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establish the form or terms of Securities of any series as permitted by Sections 2.01 and 2.03;</w:t>
      </w:r>
    </w:p>
    <w:p>
      <w:pPr>
        <w:spacing w:after="0" w:line="109" w:lineRule="exact"/>
        <w:rPr>
          <w:rFonts w:ascii="Times New Roman" w:cs="Times New Roman" w:eastAsia="Times New Roman" w:hAnsi="Times New Roman"/>
          <w:sz w:val="16"/>
          <w:szCs w:val="16"/>
          <w:color w:val="auto"/>
        </w:rPr>
      </w:pPr>
    </w:p>
    <w:p>
      <w:pPr>
        <w:ind w:left="1340" w:right="1419" w:firstLine="976"/>
        <w:spacing w:after="0" w:line="246" w:lineRule="auto"/>
        <w:tabs>
          <w:tab w:leader="none" w:pos="263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4" w:lineRule="auto"/>
        <w:tabs>
          <w:tab w:leader="none" w:pos="263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33" w:lineRule="exact"/>
        <w:rPr>
          <w:rFonts w:ascii="Times New Roman" w:cs="Times New Roman" w:eastAsia="Times New Roman" w:hAnsi="Times New Roman"/>
          <w:sz w:val="16"/>
          <w:szCs w:val="16"/>
          <w:color w:val="auto"/>
        </w:rPr>
      </w:pPr>
    </w:p>
    <w:p>
      <w:pPr>
        <w:ind w:left="1340" w:right="1399" w:firstLine="976"/>
        <w:spacing w:after="0" w:line="272" w:lineRule="auto"/>
        <w:tabs>
          <w:tab w:leader="none" w:pos="263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to the Securities of any series so long as no Securities of such series are Outstanding; and</w:t>
      </w:r>
    </w:p>
    <w:p>
      <w:pPr>
        <w:spacing w:after="0" w:line="109" w:lineRule="exact"/>
        <w:rPr>
          <w:rFonts w:ascii="Times New Roman" w:cs="Times New Roman" w:eastAsia="Times New Roman" w:hAnsi="Times New Roman"/>
          <w:sz w:val="16"/>
          <w:szCs w:val="16"/>
          <w:color w:val="auto"/>
        </w:rPr>
      </w:pPr>
    </w:p>
    <w:p>
      <w:pPr>
        <w:ind w:left="1340" w:right="1539" w:firstLine="976"/>
        <w:spacing w:after="0" w:line="272" w:lineRule="auto"/>
        <w:tabs>
          <w:tab w:leader="none" w:pos="263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other change that does not adversely affect the interests of the Holders of the Securities in any material respect.</w:t>
      </w:r>
    </w:p>
    <w:p>
      <w:pPr>
        <w:spacing w:after="0" w:line="110" w:lineRule="exact"/>
        <w:rPr>
          <w:sz w:val="20"/>
          <w:szCs w:val="20"/>
          <w:color w:val="auto"/>
        </w:rPr>
      </w:pPr>
    </w:p>
    <w:p>
      <w:pPr>
        <w:ind w:left="1340" w:right="1559" w:firstLine="486"/>
        <w:spacing w:after="0" w:line="244" w:lineRule="auto"/>
        <w:rPr>
          <w:sz w:val="20"/>
          <w:szCs w:val="20"/>
          <w:color w:val="auto"/>
        </w:rPr>
      </w:pPr>
      <w:r>
        <w:rPr>
          <w:rFonts w:ascii="Times New Roman" w:cs="Times New Roman" w:eastAsia="Times New Roman" w:hAnsi="Times New Roman"/>
          <w:sz w:val="16"/>
          <w:szCs w:val="16"/>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34"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21" w:lineRule="exact"/>
        <w:rPr>
          <w:sz w:val="20"/>
          <w:szCs w:val="20"/>
          <w:color w:val="auto"/>
        </w:rPr>
      </w:pPr>
    </w:p>
    <w:p>
      <w:pPr>
        <w:ind w:left="1340" w:right="177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Supplemental Indentures With Consent of Securityholders</w:t>
      </w:r>
      <w:r>
        <w:rPr>
          <w:rFonts w:ascii="Times New Roman" w:cs="Times New Roman" w:eastAsia="Times New Roman" w:hAnsi="Times New Roman"/>
          <w:sz w:val="16"/>
          <w:szCs w:val="16"/>
          <w:color w:val="auto"/>
        </w:rPr>
        <w:t>. With the consent (evidenced as provided in Article 7) of the Holders of not less than a majority in aggregate principal amount of the Securities at the time Outstanding of one or more series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1" w:name="page102"/>
    <w:bookmarkEnd w:id="101"/>
    <w:p>
      <w:pPr>
        <w:ind w:left="1340" w:right="1359"/>
        <w:spacing w:after="0" w:line="239" w:lineRule="auto"/>
        <w:rPr>
          <w:sz w:val="20"/>
          <w:szCs w:val="20"/>
          <w:color w:val="auto"/>
        </w:rPr>
      </w:pPr>
      <w:r>
        <w:rPr>
          <w:rFonts w:ascii="Times New Roman" w:cs="Times New Roman" w:eastAsia="Times New Roman" w:hAnsi="Times New Roman"/>
          <w:sz w:val="16"/>
          <w:szCs w:val="16"/>
          <w:color w:val="auto"/>
        </w:rPr>
        <w:t xml:space="preserve">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38"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35"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w:t>
      </w:r>
    </w:p>
    <w:p>
      <w:pPr>
        <w:spacing w:after="0" w:line="2" w:lineRule="exact"/>
        <w:rPr>
          <w:sz w:val="20"/>
          <w:szCs w:val="20"/>
          <w:color w:val="auto"/>
        </w:rPr>
      </w:pPr>
    </w:p>
    <w:p>
      <w:pPr>
        <w:ind w:left="1340" w:right="1359"/>
        <w:spacing w:after="0" w:line="241" w:lineRule="auto"/>
        <w:rPr>
          <w:sz w:val="20"/>
          <w:szCs w:val="20"/>
          <w:color w:val="auto"/>
        </w:rPr>
      </w:pPr>
      <w:r>
        <w:rPr>
          <w:rFonts w:ascii="Times New Roman" w:cs="Times New Roman" w:eastAsia="Times New Roman" w:hAnsi="Times New Roman"/>
          <w:sz w:val="16"/>
          <w:szCs w:val="16"/>
          <w:color w:val="auto"/>
        </w:rPr>
        <w:t>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2" w:name="page103"/>
    <w:bookmarkEnd w:id="102"/>
    <w:p>
      <w:pPr>
        <w:ind w:left="1340" w:right="1499" w:firstLine="486"/>
        <w:spacing w:after="0" w:line="255" w:lineRule="auto"/>
        <w:rPr>
          <w:sz w:val="20"/>
          <w:szCs w:val="20"/>
          <w:color w:val="auto"/>
        </w:rPr>
      </w:pPr>
      <w:r>
        <w:rPr>
          <w:rFonts w:ascii="Times New Roman" w:cs="Times New Roman" w:eastAsia="Times New Roman" w:hAnsi="Times New Roman"/>
          <w:sz w:val="16"/>
          <w:szCs w:val="16"/>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23"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32"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Effect of Supplemental Indenture.</w:t>
      </w:r>
      <w:r>
        <w:rPr>
          <w:rFonts w:ascii="Times New Roman" w:cs="Times New Roman" w:eastAsia="Times New Roman" w:hAnsi="Times New Roman"/>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1"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Documents to Be Given to Trustee.</w:t>
      </w:r>
      <w:r>
        <w:rPr>
          <w:rFonts w:ascii="Times New Roman" w:cs="Times New Roman" w:eastAsia="Times New Roman" w:hAnsi="Times New Roman"/>
          <w:sz w:val="16"/>
          <w:szCs w:val="16"/>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Notation on Securities in Respect of Supplemental Indentures.</w:t>
      </w:r>
      <w:r>
        <w:rPr>
          <w:rFonts w:ascii="Times New Roman" w:cs="Times New Roman" w:eastAsia="Times New Roman" w:hAnsi="Times New Roman"/>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9</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CONSOLIDATION, MERGER, SALE OR CONVEYANCE</w:t>
      </w:r>
    </w:p>
    <w:p>
      <w:pPr>
        <w:spacing w:after="0" w:line="140"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Issuer May Consolidate, Etc., on Certain Terms.</w:t>
      </w:r>
      <w:r>
        <w:rPr>
          <w:rFonts w:ascii="Times New Roman" w:cs="Times New Roman" w:eastAsia="Times New Roman" w:hAnsi="Times New Roman"/>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3" w:name="page104"/>
    <w:bookmarkEnd w:id="103"/>
    <w:p>
      <w:pPr>
        <w:ind w:left="1340" w:right="1399"/>
        <w:spacing w:after="0"/>
        <w:rPr>
          <w:sz w:val="20"/>
          <w:szCs w:val="20"/>
          <w:color w:val="auto"/>
        </w:rPr>
      </w:pPr>
      <w:r>
        <w:rPr>
          <w:rFonts w:ascii="Times New Roman" w:cs="Times New Roman" w:eastAsia="Times New Roman" w:hAnsi="Times New Roman"/>
          <w:sz w:val="16"/>
          <w:szCs w:val="16"/>
          <w:color w:val="auto"/>
        </w:rPr>
        <w:t>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1" w:lineRule="exact"/>
        <w:rPr>
          <w:sz w:val="20"/>
          <w:szCs w:val="20"/>
          <w:color w:val="auto"/>
        </w:rPr>
      </w:pPr>
    </w:p>
    <w:p>
      <w:pPr>
        <w:ind w:left="1340" w:right="1399" w:firstLine="486"/>
        <w:spacing w:after="0" w:line="246" w:lineRule="auto"/>
        <w:rPr>
          <w:sz w:val="20"/>
          <w:szCs w:val="20"/>
          <w:color w:val="auto"/>
        </w:rPr>
      </w:pPr>
      <w:r>
        <w:rPr>
          <w:rFonts w:ascii="Times New Roman" w:cs="Times New Roman" w:eastAsia="Times New Roman" w:hAnsi="Times New Roman"/>
          <w:sz w:val="16"/>
          <w:szCs w:val="16"/>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Successor Issuer Substituted.</w:t>
      </w:r>
      <w:r>
        <w:rPr>
          <w:rFonts w:ascii="Times New Roman" w:cs="Times New Roman" w:eastAsia="Times New Roman" w:hAnsi="Times New Roman"/>
          <w:sz w:val="16"/>
          <w:szCs w:val="16"/>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36"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In case of any such consolidation, merger, sale, lease or conveyance, such changes in phraseology and form (but not in substance) may be made in the Securities thereafter to be issued as may be appropriate.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SATISFACTION AND DISCHARGE OF INDENTURE; DEFEASANCE; UNCLAIMED</w:t>
      </w:r>
    </w:p>
    <w:p>
      <w:pPr>
        <w:jc w:val="center"/>
        <w:ind w:right="59"/>
        <w:spacing w:after="0"/>
        <w:rPr>
          <w:sz w:val="20"/>
          <w:szCs w:val="20"/>
          <w:color w:val="auto"/>
        </w:rPr>
      </w:pPr>
      <w:r>
        <w:rPr>
          <w:rFonts w:ascii="Times New Roman" w:cs="Times New Roman" w:eastAsia="Times New Roman" w:hAnsi="Times New Roman"/>
          <w:sz w:val="16"/>
          <w:szCs w:val="16"/>
          <w:color w:val="auto"/>
        </w:rPr>
        <w:t>MONEYS</w:t>
      </w:r>
    </w:p>
    <w:p>
      <w:pPr>
        <w:spacing w:after="0" w:line="14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Satisfaction and Discharge of Indenture; Defeasance</w:t>
      </w:r>
      <w:r>
        <w:rPr>
          <w:rFonts w:ascii="Times New Roman" w:cs="Times New Roman" w:eastAsia="Times New Roman" w:hAnsi="Times New Roman"/>
          <w:sz w:val="16"/>
          <w:szCs w:val="16"/>
          <w:color w:val="auto"/>
        </w:rPr>
        <w:t>. (a) If at any time</w:t>
      </w:r>
    </w:p>
    <w:p>
      <w:pPr>
        <w:spacing w:after="0" w:line="162" w:lineRule="exact"/>
        <w:rPr>
          <w:sz w:val="20"/>
          <w:szCs w:val="20"/>
          <w:color w:val="auto"/>
        </w:rPr>
      </w:pPr>
    </w:p>
    <w:p>
      <w:pPr>
        <w:ind w:left="1340" w:right="1479" w:firstLine="1462"/>
        <w:spacing w:after="0" w:line="246" w:lineRule="auto"/>
        <w:tabs>
          <w:tab w:leader="none" w:pos="312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200" w:lineRule="exact"/>
        <w:rPr>
          <w:rFonts w:ascii="Times New Roman" w:cs="Times New Roman" w:eastAsia="Times New Roman" w:hAnsi="Times New Roman"/>
          <w:sz w:val="16"/>
          <w:szCs w:val="16"/>
          <w:color w:val="auto"/>
        </w:rPr>
      </w:pPr>
    </w:p>
    <w:p>
      <w:pPr>
        <w:spacing w:after="0" w:line="234"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4" w:name="page105"/>
    <w:bookmarkEnd w:id="104"/>
    <w:p>
      <w:pPr>
        <w:ind w:left="1340" w:right="1459" w:firstLine="1462"/>
        <w:spacing w:after="0" w:line="249" w:lineRule="auto"/>
        <w:tabs>
          <w:tab w:leader="none" w:pos="312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127" w:lineRule="exact"/>
        <w:rPr>
          <w:rFonts w:ascii="Times New Roman" w:cs="Times New Roman" w:eastAsia="Times New Roman" w:hAnsi="Times New Roman"/>
          <w:sz w:val="16"/>
          <w:szCs w:val="16"/>
          <w:color w:val="auto"/>
        </w:rPr>
      </w:pPr>
    </w:p>
    <w:p>
      <w:pPr>
        <w:ind w:left="1340" w:right="1359" w:firstLine="1462"/>
        <w:spacing w:after="0" w:line="249" w:lineRule="auto"/>
        <w:tabs>
          <w:tab w:leader="none" w:pos="312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127" w:lineRule="exact"/>
        <w:rPr>
          <w:rFonts w:ascii="Times New Roman" w:cs="Times New Roman" w:eastAsia="Times New Roman" w:hAnsi="Times New Roman"/>
          <w:sz w:val="16"/>
          <w:szCs w:val="16"/>
          <w:color w:val="auto"/>
        </w:rPr>
      </w:pPr>
    </w:p>
    <w:p>
      <w:pPr>
        <w:ind w:left="1340" w:right="1359" w:firstLine="1948"/>
        <w:spacing w:after="0" w:line="246" w:lineRule="auto"/>
        <w:tabs>
          <w:tab w:leader="none" w:pos="360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130" w:lineRule="exact"/>
        <w:rPr>
          <w:rFonts w:ascii="Times New Roman" w:cs="Times New Roman" w:eastAsia="Times New Roman" w:hAnsi="Times New Roman"/>
          <w:sz w:val="16"/>
          <w:szCs w:val="16"/>
          <w:color w:val="auto"/>
        </w:rPr>
      </w:pPr>
    </w:p>
    <w:p>
      <w:pPr>
        <w:ind w:left="3620" w:hanging="332"/>
        <w:spacing w:after="0"/>
        <w:tabs>
          <w:tab w:leader="none" w:pos="362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irrevocably deposited or caused to be</w:t>
      </w:r>
    </w:p>
    <w:p>
      <w:pPr>
        <w:spacing w:after="0" w:line="16" w:lineRule="exact"/>
        <w:rPr>
          <w:rFonts w:ascii="Times New Roman" w:cs="Times New Roman" w:eastAsia="Times New Roman" w:hAnsi="Times New Roman"/>
          <w:sz w:val="16"/>
          <w:szCs w:val="16"/>
          <w:color w:val="auto"/>
        </w:rPr>
      </w:pPr>
    </w:p>
    <w:p>
      <w:pPr>
        <w:ind w:left="1340" w:right="1359"/>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w:t>
      </w:r>
    </w:p>
    <w:p>
      <w:pPr>
        <w:spacing w:after="0" w:line="200" w:lineRule="exact"/>
        <w:rPr>
          <w:rFonts w:ascii="Times New Roman" w:cs="Times New Roman" w:eastAsia="Times New Roman" w:hAnsi="Times New Roman"/>
          <w:sz w:val="16"/>
          <w:szCs w:val="16"/>
          <w:color w:val="auto"/>
        </w:rPr>
      </w:pPr>
    </w:p>
    <w:p>
      <w:pPr>
        <w:spacing w:after="0" w:line="245"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2"/>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5" w:name="page106"/>
    <w:bookmarkEnd w:id="105"/>
    <w:p>
      <w:pPr>
        <w:ind w:left="1340" w:right="1419"/>
        <w:spacing w:after="0" w:line="249" w:lineRule="auto"/>
        <w:rPr>
          <w:sz w:val="20"/>
          <w:szCs w:val="20"/>
          <w:color w:val="auto"/>
        </w:rPr>
      </w:pPr>
      <w:r>
        <w:rPr>
          <w:rFonts w:ascii="Times New Roman" w:cs="Times New Roman" w:eastAsia="Times New Roman" w:hAnsi="Times New Roman"/>
          <w:sz w:val="16"/>
          <w:szCs w:val="16"/>
          <w:color w:val="auto"/>
        </w:rPr>
        <w:t>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28" w:lineRule="exact"/>
        <w:rPr>
          <w:sz w:val="20"/>
          <w:szCs w:val="20"/>
          <w:color w:val="auto"/>
        </w:rPr>
      </w:pPr>
    </w:p>
    <w:p>
      <w:pPr>
        <w:ind w:left="1340" w:right="1459" w:firstLine="976"/>
        <w:spacing w:after="0" w:line="241" w:lineRule="auto"/>
        <w:tabs>
          <w:tab w:leader="none" w:pos="2637"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Times New Roman" w:cs="Times New Roman" w:eastAsia="Times New Roman" w:hAnsi="Times New Roman"/>
          <w:sz w:val="16"/>
          <w:szCs w:val="16"/>
          <w:b w:val="1"/>
          <w:bCs w:val="1"/>
          <w:color w:val="auto"/>
        </w:rPr>
        <w:t>Legal Defeasance</w:t>
      </w:r>
      <w:r>
        <w:rPr>
          <w:rFonts w:ascii="Times New Roman" w:cs="Times New Roman" w:eastAsia="Times New Roman" w:hAnsi="Times New Roman"/>
          <w:sz w:val="16"/>
          <w:szCs w:val="16"/>
          <w:color w:val="auto"/>
        </w:rPr>
        <w:t>”), such discharge to be effective on the date that the conditions set forth in clauses (i) through (iv) and (vi) of Section</w:t>
      </w:r>
    </w:p>
    <w:p>
      <w:pPr>
        <w:spacing w:after="0" w:line="1" w:lineRule="exact"/>
        <w:rPr>
          <w:rFonts w:ascii="Times New Roman" w:cs="Times New Roman" w:eastAsia="Times New Roman" w:hAnsi="Times New Roman"/>
          <w:sz w:val="16"/>
          <w:szCs w:val="16"/>
          <w:color w:val="auto"/>
        </w:rPr>
      </w:pPr>
    </w:p>
    <w:p>
      <w:pPr>
        <w:ind w:left="1340" w:right="1399"/>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42" w:lineRule="exact"/>
        <w:rPr>
          <w:rFonts w:ascii="Times New Roman" w:cs="Times New Roman" w:eastAsia="Times New Roman" w:hAnsi="Times New Roman"/>
          <w:sz w:val="16"/>
          <w:szCs w:val="16"/>
          <w:color w:val="auto"/>
        </w:rPr>
      </w:pPr>
    </w:p>
    <w:p>
      <w:pPr>
        <w:ind w:left="1340" w:right="1399" w:firstLine="976"/>
        <w:spacing w:after="0"/>
        <w:tabs>
          <w:tab w:leader="none" w:pos="2637"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Times New Roman" w:cs="Times New Roman" w:eastAsia="Times New Roman" w:hAnsi="Times New Roman"/>
          <w:sz w:val="16"/>
          <w:szCs w:val="16"/>
          <w:b w:val="1"/>
          <w:bCs w:val="1"/>
          <w:color w:val="auto"/>
        </w:rPr>
        <w:t>Covenant Defeasance</w:t>
      </w:r>
      <w:r>
        <w:rPr>
          <w:rFonts w:ascii="Times New Roman" w:cs="Times New Roman" w:eastAsia="Times New Roman" w:hAnsi="Times New Roman"/>
          <w:sz w:val="16"/>
          <w:szCs w:val="16"/>
          <w:color w:val="auto"/>
        </w:rPr>
        <w:t>”), such discharge to be effective on the date the conditions set forth in clauses (i) through (iii) and</w:t>
      </w:r>
    </w:p>
    <w:p>
      <w:pPr>
        <w:spacing w:after="0" w:line="1" w:lineRule="exact"/>
        <w:rPr>
          <w:rFonts w:ascii="Times New Roman" w:cs="Times New Roman" w:eastAsia="Times New Roman" w:hAnsi="Times New Roman"/>
          <w:sz w:val="16"/>
          <w:szCs w:val="16"/>
          <w:color w:val="auto"/>
        </w:rPr>
      </w:pPr>
    </w:p>
    <w:p>
      <w:pPr>
        <w:ind w:left="1340" w:right="1459" w:firstLine="3"/>
        <w:spacing w:after="0" w:line="239" w:lineRule="auto"/>
        <w:tabs>
          <w:tab w:leader="none" w:pos="156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w:t>
      </w:r>
    </w:p>
    <w:p>
      <w:pPr>
        <w:spacing w:after="0" w:line="200" w:lineRule="exact"/>
        <w:rPr>
          <w:rFonts w:ascii="Times New Roman" w:cs="Times New Roman" w:eastAsia="Times New Roman" w:hAnsi="Times New Roman"/>
          <w:sz w:val="16"/>
          <w:szCs w:val="16"/>
          <w:color w:val="auto"/>
        </w:rPr>
      </w:pPr>
    </w:p>
    <w:p>
      <w:pPr>
        <w:spacing w:after="0" w:line="238"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6" w:name="page107"/>
    <w:bookmarkEnd w:id="106"/>
    <w:p>
      <w:pPr>
        <w:ind w:left="1340" w:right="1379"/>
        <w:spacing w:after="0" w:line="272" w:lineRule="auto"/>
        <w:rPr>
          <w:sz w:val="20"/>
          <w:szCs w:val="20"/>
          <w:color w:val="auto"/>
        </w:rPr>
      </w:pPr>
      <w:r>
        <w:rPr>
          <w:rFonts w:ascii="Times New Roman" w:cs="Times New Roman" w:eastAsia="Times New Roman" w:hAnsi="Times New Roman"/>
          <w:sz w:val="16"/>
          <w:szCs w:val="16"/>
          <w:color w:val="auto"/>
        </w:rPr>
        <w:t>this Indenture, and any indentures supplemental to this Indenture with respect to such series shall be unaffected thereby.</w:t>
      </w:r>
    </w:p>
    <w:p>
      <w:pPr>
        <w:spacing w:after="0" w:line="110" w:lineRule="exact"/>
        <w:rPr>
          <w:sz w:val="20"/>
          <w:szCs w:val="20"/>
          <w:color w:val="auto"/>
        </w:rPr>
      </w:pPr>
    </w:p>
    <w:p>
      <w:pPr>
        <w:ind w:left="1340" w:right="1419" w:firstLine="976"/>
        <w:spacing w:after="0" w:line="255" w:lineRule="auto"/>
        <w:tabs>
          <w:tab w:leader="none" w:pos="2637"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122" w:lineRule="exact"/>
        <w:rPr>
          <w:rFonts w:ascii="Times New Roman" w:cs="Times New Roman" w:eastAsia="Times New Roman" w:hAnsi="Times New Roman"/>
          <w:sz w:val="16"/>
          <w:szCs w:val="16"/>
          <w:color w:val="auto"/>
        </w:rPr>
      </w:pPr>
    </w:p>
    <w:p>
      <w:pPr>
        <w:ind w:left="1340" w:right="1359" w:firstLine="1462"/>
        <w:spacing w:after="0" w:line="239" w:lineRule="auto"/>
        <w:tabs>
          <w:tab w:leader="none" w:pos="3123"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46" w:lineRule="exact"/>
        <w:rPr>
          <w:rFonts w:ascii="Times New Roman" w:cs="Times New Roman" w:eastAsia="Times New Roman" w:hAnsi="Times New Roman"/>
          <w:sz w:val="16"/>
          <w:szCs w:val="16"/>
          <w:color w:val="auto"/>
        </w:rPr>
      </w:pPr>
    </w:p>
    <w:p>
      <w:pPr>
        <w:jc w:val="both"/>
        <w:ind w:left="1340" w:right="1479" w:firstLine="1462"/>
        <w:spacing w:after="0" w:line="255" w:lineRule="auto"/>
        <w:tabs>
          <w:tab w:leader="none" w:pos="3123"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22" w:lineRule="exact"/>
        <w:rPr>
          <w:rFonts w:ascii="Times New Roman" w:cs="Times New Roman" w:eastAsia="Times New Roman" w:hAnsi="Times New Roman"/>
          <w:sz w:val="16"/>
          <w:szCs w:val="16"/>
          <w:color w:val="auto"/>
        </w:rPr>
      </w:pPr>
    </w:p>
    <w:p>
      <w:pPr>
        <w:ind w:left="3120" w:hanging="318"/>
        <w:spacing w:after="0"/>
        <w:tabs>
          <w:tab w:leader="none" w:pos="312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of Default under subsection (a), (b), (d) or (e) of Section</w:t>
      </w:r>
    </w:p>
    <w:p>
      <w:pPr>
        <w:spacing w:after="0" w:line="16" w:lineRule="exact"/>
        <w:rPr>
          <w:sz w:val="20"/>
          <w:szCs w:val="20"/>
          <w:color w:val="auto"/>
        </w:rPr>
      </w:pPr>
    </w:p>
    <w:p>
      <w:pPr>
        <w:ind w:left="1340" w:right="1459"/>
        <w:spacing w:after="0" w:line="243" w:lineRule="auto"/>
        <w:rPr>
          <w:sz w:val="20"/>
          <w:szCs w:val="20"/>
          <w:color w:val="auto"/>
        </w:rPr>
      </w:pPr>
      <w:r>
        <w:rPr>
          <w:rFonts w:ascii="Times New Roman" w:cs="Times New Roman" w:eastAsia="Times New Roman" w:hAnsi="Times New Roman"/>
          <w:sz w:val="16"/>
          <w:szCs w:val="16"/>
          <w:color w:val="auto"/>
        </w:rPr>
        <w:t>5.01 shall have occurred and be continuing, and no event which with notice or lapse of time or both would become such an Event of Default shall have occurred and be continuing, on the date of such deposit;</w:t>
      </w:r>
    </w:p>
    <w:p>
      <w:pPr>
        <w:spacing w:after="0" w:line="132" w:lineRule="exact"/>
        <w:rPr>
          <w:sz w:val="20"/>
          <w:szCs w:val="20"/>
          <w:color w:val="auto"/>
        </w:rPr>
      </w:pPr>
    </w:p>
    <w:p>
      <w:pPr>
        <w:ind w:left="1340" w:right="1359" w:firstLine="1462"/>
        <w:spacing w:after="0" w:line="242" w:lineRule="auto"/>
        <w:tabs>
          <w:tab w:leader="none" w:pos="312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200" w:lineRule="exact"/>
        <w:rPr>
          <w:rFonts w:ascii="Times New Roman" w:cs="Times New Roman" w:eastAsia="Times New Roman" w:hAnsi="Times New Roman"/>
          <w:sz w:val="16"/>
          <w:szCs w:val="16"/>
          <w:color w:val="auto"/>
        </w:rPr>
      </w:pPr>
    </w:p>
    <w:p>
      <w:pPr>
        <w:spacing w:after="0" w:line="237"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7" w:name="page108"/>
    <w:bookmarkEnd w:id="107"/>
    <w:p>
      <w:pPr>
        <w:ind w:left="1340" w:right="1399" w:firstLine="1462"/>
        <w:spacing w:after="0" w:line="244" w:lineRule="auto"/>
        <w:tabs>
          <w:tab w:leader="none" w:pos="312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133" w:lineRule="exact"/>
        <w:rPr>
          <w:rFonts w:ascii="Times New Roman" w:cs="Times New Roman" w:eastAsia="Times New Roman" w:hAnsi="Times New Roman"/>
          <w:sz w:val="16"/>
          <w:szCs w:val="16"/>
          <w:color w:val="auto"/>
        </w:rPr>
      </w:pPr>
    </w:p>
    <w:p>
      <w:pPr>
        <w:ind w:left="1340" w:right="1439" w:firstLine="1462"/>
        <w:spacing w:after="0" w:line="255" w:lineRule="auto"/>
        <w:tabs>
          <w:tab w:leader="none" w:pos="312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3" w:lineRule="exact"/>
        <w:rPr>
          <w:sz w:val="20"/>
          <w:szCs w:val="20"/>
          <w:color w:val="auto"/>
        </w:rPr>
      </w:pPr>
    </w:p>
    <w:p>
      <w:pPr>
        <w:ind w:left="1340" w:right="1379"/>
        <w:spacing w:after="0" w:line="249" w:lineRule="auto"/>
        <w:rPr>
          <w:sz w:val="20"/>
          <w:szCs w:val="20"/>
          <w:color w:val="auto"/>
        </w:rPr>
      </w:pPr>
      <w:r>
        <w:rPr>
          <w:rFonts w:ascii="Times New Roman" w:cs="Times New Roman" w:eastAsia="Times New Roman" w:hAnsi="Times New Roman"/>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6" w:lineRule="exact"/>
        <w:rPr>
          <w:sz w:val="20"/>
          <w:szCs w:val="20"/>
          <w:color w:val="auto"/>
        </w:rPr>
      </w:pPr>
    </w:p>
    <w:p>
      <w:pPr>
        <w:ind w:left="1340" w:right="153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Application by Trustee of Funds Deposited for Payment of Securities.</w:t>
      </w:r>
      <w:r>
        <w:rPr>
          <w:rFonts w:ascii="Times New Roman" w:cs="Times New Roman" w:eastAsia="Times New Roman" w:hAnsi="Times New Roman"/>
          <w:sz w:val="16"/>
          <w:szCs w:val="16"/>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31"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Repayment of Moneys Held by Paying Agent.</w:t>
      </w:r>
      <w:r>
        <w:rPr>
          <w:rFonts w:ascii="Times New Roman" w:cs="Times New Roman" w:eastAsia="Times New Roman" w:hAnsi="Times New Roman"/>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29"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10.04 </w:t>
      </w:r>
      <w:r>
        <w:rPr>
          <w:rFonts w:ascii="Times New Roman" w:cs="Times New Roman" w:eastAsia="Times New Roman" w:hAnsi="Times New Roman"/>
          <w:sz w:val="16"/>
          <w:szCs w:val="16"/>
          <w:i w:val="1"/>
          <w:iCs w:val="1"/>
          <w:color w:val="auto"/>
        </w:rPr>
        <w:t>Return of Moneys Held by Trustee and Paying Agent Unclaimed for Two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Years. </w:t>
      </w:r>
      <w:r>
        <w:rPr>
          <w:rFonts w:ascii="Times New Roman" w:cs="Times New Roman" w:eastAsia="Times New Roman" w:hAnsi="Times New Roman"/>
          <w:sz w:val="16"/>
          <w:szCs w:val="16"/>
          <w:color w:val="auto"/>
        </w:rPr>
        <w:t>Any moneys deposited with or paid to the Trustee or any paying agent for the payment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34" w:lineRule="exact"/>
        <w:rPr>
          <w:sz w:val="20"/>
          <w:szCs w:val="20"/>
          <w:color w:val="auto"/>
        </w:rPr>
      </w:pPr>
    </w:p>
    <w:p>
      <w:pPr>
        <w:ind w:left="1340" w:right="141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Indemnity for U.S. Government Obligations and Foreign Government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Obligations. </w:t>
      </w:r>
      <w:r>
        <w:rPr>
          <w:rFonts w:ascii="Times New Roman" w:cs="Times New Roman" w:eastAsia="Times New Roman" w:hAnsi="Times New Roman"/>
          <w:sz w:val="16"/>
          <w:szCs w:val="16"/>
          <w:color w:val="auto"/>
        </w:rPr>
        <w:t>The Issuer shall pay and indemnify the Trustee against any tax, fee or other charge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imposed on or assessed against the U.S. Government Obligations or Foreign Government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8" w:name="page109"/>
    <w:bookmarkEnd w:id="108"/>
    <w:p>
      <w:pPr>
        <w:ind w:left="1340" w:right="1399"/>
        <w:spacing w:after="0" w:line="272" w:lineRule="auto"/>
        <w:rPr>
          <w:sz w:val="20"/>
          <w:szCs w:val="20"/>
          <w:color w:val="auto"/>
        </w:rPr>
      </w:pPr>
      <w:r>
        <w:rPr>
          <w:rFonts w:ascii="Times New Roman" w:cs="Times New Roman" w:eastAsia="Times New Roman" w:hAnsi="Times New Roman"/>
          <w:sz w:val="16"/>
          <w:szCs w:val="16"/>
          <w:color w:val="auto"/>
        </w:rPr>
        <w:t>Obligations deposited pursuant to Section 10.01 or the principal or interest received in respect of such obligations.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11</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MISCELLANEOUS PROVISIONS</w:t>
      </w:r>
    </w:p>
    <w:p>
      <w:pPr>
        <w:spacing w:after="0" w:line="140"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i w:val="1"/>
          <w:iCs w:val="1"/>
          <w:color w:val="auto"/>
        </w:rPr>
        <w:t>No Recourse.</w:t>
      </w:r>
      <w:r>
        <w:rPr>
          <w:rFonts w:ascii="Times New Roman" w:cs="Times New Roman" w:eastAsia="Times New Roman" w:hAnsi="Times New Roman"/>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46"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Provisions of Indenture for the Sole Benefit of Parties and Holders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Securities. </w:t>
      </w:r>
      <w:r>
        <w:rPr>
          <w:rFonts w:ascii="Times New Roman" w:cs="Times New Roman" w:eastAsia="Times New Roman" w:hAnsi="Times New Roman"/>
          <w:sz w:val="16"/>
          <w:szCs w:val="16"/>
          <w:color w:val="auto"/>
        </w:rPr>
        <w:t>Nothing in this Indenture or in the Securities, expressed or implied, shall give or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29"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11.03 </w:t>
      </w:r>
      <w:r>
        <w:rPr>
          <w:rFonts w:ascii="Times New Roman" w:cs="Times New Roman" w:eastAsia="Times New Roman" w:hAnsi="Times New Roman"/>
          <w:sz w:val="16"/>
          <w:szCs w:val="16"/>
          <w:i w:val="1"/>
          <w:iCs w:val="1"/>
          <w:color w:val="auto"/>
        </w:rPr>
        <w:t>Successors and Assigns of Issuer Bound by Indenture.</w:t>
      </w:r>
      <w:r>
        <w:rPr>
          <w:rFonts w:ascii="Times New Roman" w:cs="Times New Roman" w:eastAsia="Times New Roman" w:hAnsi="Times New Roman"/>
          <w:sz w:val="16"/>
          <w:szCs w:val="16"/>
          <w:color w:val="auto"/>
        </w:rPr>
        <w:t xml:space="preserve"> All the covenants, stipulations, promises and agreements contained in this Indenture by or on behalf of the Issuer shall bind its successors and assigns, whether so expressed or not.</w:t>
      </w:r>
    </w:p>
    <w:p>
      <w:pPr>
        <w:spacing w:after="0" w:line="120"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11.04 </w:t>
      </w:r>
      <w:r>
        <w:rPr>
          <w:rFonts w:ascii="Times New Roman" w:cs="Times New Roman" w:eastAsia="Times New Roman" w:hAnsi="Times New Roman"/>
          <w:sz w:val="16"/>
          <w:szCs w:val="16"/>
          <w:i w:val="1"/>
          <w:iCs w:val="1"/>
          <w:color w:val="auto"/>
        </w:rPr>
        <w:t>Notices and Demands on Issuer, Trustee and Holders of Securities.</w:t>
      </w:r>
      <w:r>
        <w:rPr>
          <w:rFonts w:ascii="Times New Roman" w:cs="Times New Roman" w:eastAsia="Times New Roman" w:hAnsi="Times New Roman"/>
          <w:sz w:val="16"/>
          <w:szCs w:val="16"/>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Xilio Therapeutics, Inc., 828 Winter Street, Suite 300, Waltham, Massachusetts 02451, Attn: _______. Any notice, direction, request or demand by the Issuer or any Holder of</w:t>
      </w:r>
    </w:p>
    <w:p>
      <w:pPr>
        <w:spacing w:after="0" w:line="3" w:lineRule="exact"/>
        <w:rPr>
          <w:sz w:val="20"/>
          <w:szCs w:val="20"/>
          <w:color w:val="auto"/>
        </w:rPr>
      </w:pPr>
    </w:p>
    <w:p>
      <w:pPr>
        <w:ind w:left="1340" w:right="1399"/>
        <w:spacing w:after="0" w:line="248" w:lineRule="auto"/>
        <w:rPr>
          <w:sz w:val="20"/>
          <w:szCs w:val="20"/>
          <w:color w:val="auto"/>
        </w:rPr>
      </w:pPr>
      <w:r>
        <w:rPr>
          <w:rFonts w:ascii="Times New Roman" w:cs="Times New Roman" w:eastAsia="Times New Roman" w:hAnsi="Times New Roman"/>
          <w:sz w:val="16"/>
          <w:szCs w:val="16"/>
          <w:color w:val="auto"/>
        </w:rPr>
        <w:t>Securities to or upon the Trustee shall be deemed to have been sufficiently given or made, for all purposes, if given or made at _______, ________, Attn: _______.</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9" w:name="page110"/>
    <w:bookmarkEnd w:id="109"/>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37" w:lineRule="exact"/>
        <w:rPr>
          <w:sz w:val="20"/>
          <w:szCs w:val="20"/>
          <w:color w:val="auto"/>
        </w:rPr>
      </w:pPr>
    </w:p>
    <w:p>
      <w:pPr>
        <w:ind w:left="1340" w:right="1439" w:firstLine="486"/>
        <w:spacing w:after="0" w:line="249" w:lineRule="auto"/>
        <w:rPr>
          <w:sz w:val="20"/>
          <w:szCs w:val="20"/>
          <w:color w:val="auto"/>
        </w:rPr>
      </w:pPr>
      <w:r>
        <w:rPr>
          <w:rFonts w:ascii="Times New Roman" w:cs="Times New Roman" w:eastAsia="Times New Roman" w:hAnsi="Times New Roman"/>
          <w:sz w:val="16"/>
          <w:szCs w:val="16"/>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28" w:lineRule="exact"/>
        <w:rPr>
          <w:sz w:val="20"/>
          <w:szCs w:val="20"/>
          <w:color w:val="auto"/>
        </w:rPr>
      </w:pPr>
    </w:p>
    <w:p>
      <w:pPr>
        <w:ind w:left="1340" w:right="1419" w:firstLine="486"/>
        <w:spacing w:after="0" w:line="249" w:lineRule="auto"/>
        <w:rPr>
          <w:sz w:val="20"/>
          <w:szCs w:val="20"/>
          <w:color w:val="auto"/>
        </w:rPr>
      </w:pPr>
      <w:r>
        <w:rPr>
          <w:rFonts w:ascii="Times New Roman" w:cs="Times New Roman" w:eastAsia="Times New Roman" w:hAnsi="Times New Roman"/>
          <w:sz w:val="16"/>
          <w:szCs w:val="16"/>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28" w:lineRule="exact"/>
        <w:rPr>
          <w:sz w:val="20"/>
          <w:szCs w:val="20"/>
          <w:color w:val="auto"/>
        </w:rPr>
      </w:pPr>
    </w:p>
    <w:p>
      <w:pPr>
        <w:ind w:left="1340" w:right="1459" w:firstLine="486"/>
        <w:spacing w:after="0" w:line="255" w:lineRule="auto"/>
        <w:rPr>
          <w:sz w:val="20"/>
          <w:szCs w:val="20"/>
          <w:color w:val="auto"/>
        </w:rPr>
      </w:pPr>
      <w:r>
        <w:rPr>
          <w:rFonts w:ascii="Times New Roman" w:cs="Times New Roman" w:eastAsia="Times New Roman" w:hAnsi="Times New Roman"/>
          <w:sz w:val="16"/>
          <w:szCs w:val="16"/>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23" w:lineRule="exact"/>
        <w:rPr>
          <w:sz w:val="20"/>
          <w:szCs w:val="20"/>
          <w:color w:val="auto"/>
        </w:rPr>
      </w:pPr>
    </w:p>
    <w:p>
      <w:pPr>
        <w:ind w:left="1340" w:right="1499" w:firstLine="486"/>
        <w:spacing w:after="0" w:line="246" w:lineRule="auto"/>
        <w:rPr>
          <w:sz w:val="20"/>
          <w:szCs w:val="20"/>
          <w:color w:val="auto"/>
        </w:rPr>
      </w:pPr>
      <w:r>
        <w:rPr>
          <w:rFonts w:ascii="Times New Roman" w:cs="Times New Roman" w:eastAsia="Times New Roman" w:hAnsi="Times New Roman"/>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11.05 </w:t>
      </w:r>
      <w:r>
        <w:rPr>
          <w:rFonts w:ascii="Times New Roman" w:cs="Times New Roman" w:eastAsia="Times New Roman" w:hAnsi="Times New Roman"/>
          <w:sz w:val="16"/>
          <w:szCs w:val="16"/>
          <w:i w:val="1"/>
          <w:iCs w:val="1"/>
          <w:color w:val="auto"/>
        </w:rPr>
        <w:t>Officer’s Certificates and Opinions of Counsel; Statements to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Contained Therein. </w:t>
      </w:r>
      <w:r>
        <w:rPr>
          <w:rFonts w:ascii="Times New Roman" w:cs="Times New Roman" w:eastAsia="Times New Roman" w:hAnsi="Times New Roman"/>
          <w:sz w:val="16"/>
          <w:szCs w:val="16"/>
          <w:color w:val="auto"/>
        </w:rPr>
        <w:t>Upon any application or demand by the Issuer to the Trustee to take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36"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0" w:name="page111"/>
    <w:bookmarkEnd w:id="110"/>
    <w:p>
      <w:pPr>
        <w:ind w:left="1340" w:right="1459"/>
        <w:spacing w:after="0" w:line="272" w:lineRule="auto"/>
        <w:rPr>
          <w:sz w:val="20"/>
          <w:szCs w:val="20"/>
          <w:color w:val="auto"/>
        </w:rPr>
      </w:pPr>
      <w:r>
        <w:rPr>
          <w:rFonts w:ascii="Times New Roman" w:cs="Times New Roman" w:eastAsia="Times New Roman" w:hAnsi="Times New Roman"/>
          <w:sz w:val="16"/>
          <w:szCs w:val="16"/>
          <w:color w:val="auto"/>
        </w:rPr>
        <w:t>not such covenant or condition has been complied with and (d) a statement as to whether or not, in the opinion of such person, such condition or covenant has been complied with.</w:t>
      </w:r>
    </w:p>
    <w:p>
      <w:pPr>
        <w:spacing w:after="0" w:line="110"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36" w:lineRule="exact"/>
        <w:rPr>
          <w:sz w:val="20"/>
          <w:szCs w:val="20"/>
          <w:color w:val="auto"/>
        </w:rPr>
      </w:pPr>
    </w:p>
    <w:p>
      <w:pPr>
        <w:ind w:left="1340" w:right="1479" w:firstLine="486"/>
        <w:spacing w:after="0" w:line="243"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35" w:lineRule="exact"/>
        <w:rPr>
          <w:sz w:val="20"/>
          <w:szCs w:val="20"/>
          <w:color w:val="auto"/>
        </w:rPr>
      </w:pPr>
    </w:p>
    <w:p>
      <w:pPr>
        <w:ind w:left="1340" w:right="1539" w:firstLine="486"/>
        <w:spacing w:after="0" w:line="272" w:lineRule="auto"/>
        <w:rPr>
          <w:sz w:val="20"/>
          <w:szCs w:val="20"/>
          <w:color w:val="auto"/>
        </w:rPr>
      </w:pPr>
      <w:r>
        <w:rPr>
          <w:rFonts w:ascii="Times New Roman" w:cs="Times New Roman" w:eastAsia="Times New Roman" w:hAnsi="Times New Roman"/>
          <w:sz w:val="16"/>
          <w:szCs w:val="16"/>
          <w:color w:val="auto"/>
        </w:rPr>
        <w:t>Any certificate or opinion of any independent firm of public accountants filed with and directed to the Trustee shall contain a statement that such firm is independent.</w:t>
      </w:r>
    </w:p>
    <w:p>
      <w:pPr>
        <w:spacing w:after="0" w:line="108"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11.06 </w:t>
      </w:r>
      <w:r>
        <w:rPr>
          <w:rFonts w:ascii="Times New Roman" w:cs="Times New Roman" w:eastAsia="Times New Roman" w:hAnsi="Times New Roman"/>
          <w:sz w:val="16"/>
          <w:szCs w:val="16"/>
          <w:i w:val="1"/>
          <w:iCs w:val="1"/>
          <w:color w:val="auto"/>
        </w:rPr>
        <w:t>Payments Due on Saturdays, Sundays and Holidays.</w:t>
      </w:r>
      <w:r>
        <w:rPr>
          <w:rFonts w:ascii="Times New Roman" w:cs="Times New Roman" w:eastAsia="Times New Roman" w:hAnsi="Times New Roman"/>
          <w:sz w:val="16"/>
          <w:szCs w:val="16"/>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29" w:lineRule="exact"/>
        <w:rPr>
          <w:sz w:val="20"/>
          <w:szCs w:val="20"/>
          <w:color w:val="auto"/>
        </w:rPr>
      </w:pPr>
    </w:p>
    <w:p>
      <w:pPr>
        <w:jc w:val="both"/>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11.07 </w:t>
      </w:r>
      <w:r>
        <w:rPr>
          <w:rFonts w:ascii="Times New Roman" w:cs="Times New Roman" w:eastAsia="Times New Roman" w:hAnsi="Times New Roman"/>
          <w:sz w:val="16"/>
          <w:szCs w:val="16"/>
          <w:i w:val="1"/>
          <w:iCs w:val="1"/>
          <w:color w:val="auto"/>
        </w:rPr>
        <w:t>Conflict of Any Provision of Indenture With Trust Indenture Act of 1939.</w:t>
      </w:r>
      <w:r>
        <w:rPr>
          <w:rFonts w:ascii="Times New Roman" w:cs="Times New Roman" w:eastAsia="Times New Roman" w:hAnsi="Times New Roman"/>
          <w:sz w:val="16"/>
          <w:szCs w:val="16"/>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25" w:lineRule="exact"/>
        <w:rPr>
          <w:sz w:val="20"/>
          <w:szCs w:val="20"/>
          <w:color w:val="auto"/>
        </w:rPr>
      </w:pPr>
    </w:p>
    <w:p>
      <w:pPr>
        <w:ind w:left="1340" w:right="143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11.08 </w:t>
      </w:r>
      <w:r>
        <w:rPr>
          <w:rFonts w:ascii="Times New Roman" w:cs="Times New Roman" w:eastAsia="Times New Roman" w:hAnsi="Times New Roman"/>
          <w:sz w:val="16"/>
          <w:szCs w:val="16"/>
          <w:i w:val="1"/>
          <w:iCs w:val="1"/>
          <w:color w:val="auto"/>
        </w:rPr>
        <w:t>New York Law to Govern.</w:t>
      </w:r>
      <w:r>
        <w:rPr>
          <w:rFonts w:ascii="Times New Roman" w:cs="Times New Roman" w:eastAsia="Times New Roman" w:hAnsi="Times New Roman"/>
          <w:sz w:val="16"/>
          <w:szCs w:val="16"/>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1" w:name="page112"/>
    <w:bookmarkEnd w:id="111"/>
    <w:p>
      <w:pPr>
        <w:ind w:left="1340" w:right="153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11.09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xml:space="preserve"> This Indenture may be executed in any number of counterparts, each of which shall be an original; but such counterparts shall together constitute but one and the same instrument.</w:t>
      </w:r>
    </w:p>
    <w:p>
      <w:pPr>
        <w:spacing w:after="0" w:line="12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11.10 </w:t>
      </w:r>
      <w:r>
        <w:rPr>
          <w:rFonts w:ascii="Times New Roman" w:cs="Times New Roman" w:eastAsia="Times New Roman" w:hAnsi="Times New Roman"/>
          <w:sz w:val="16"/>
          <w:szCs w:val="16"/>
          <w:i w:val="1"/>
          <w:iCs w:val="1"/>
          <w:color w:val="auto"/>
        </w:rPr>
        <w:t>Effect of Headings.</w:t>
      </w:r>
      <w:r>
        <w:rPr>
          <w:rFonts w:ascii="Times New Roman" w:cs="Times New Roman" w:eastAsia="Times New Roman" w:hAnsi="Times New Roman"/>
          <w:sz w:val="16"/>
          <w:szCs w:val="16"/>
          <w:color w:val="auto"/>
        </w:rPr>
        <w:t xml:space="preserve"> The Article and Section headings herein and the Table of Contents are for convenience only and shall not affect the construction hereof.</w:t>
      </w:r>
    </w:p>
    <w:p>
      <w:pPr>
        <w:spacing w:after="0" w:line="107"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11.11 </w:t>
      </w:r>
      <w:r>
        <w:rPr>
          <w:rFonts w:ascii="Times New Roman" w:cs="Times New Roman" w:eastAsia="Times New Roman" w:hAnsi="Times New Roman"/>
          <w:sz w:val="16"/>
          <w:szCs w:val="16"/>
          <w:i w:val="1"/>
          <w:iCs w:val="1"/>
          <w:color w:val="auto"/>
        </w:rPr>
        <w:t>Actions by Successor</w:t>
      </w:r>
      <w:r>
        <w:rPr>
          <w:rFonts w:ascii="Times New Roman" w:cs="Times New Roman" w:eastAsia="Times New Roman" w:hAnsi="Times New Roman"/>
          <w:sz w:val="16"/>
          <w:szCs w:val="16"/>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27" w:lineRule="exact"/>
        <w:rPr>
          <w:sz w:val="20"/>
          <w:szCs w:val="20"/>
          <w:color w:val="auto"/>
        </w:rPr>
      </w:pPr>
    </w:p>
    <w:p>
      <w:pPr>
        <w:ind w:left="1340" w:right="151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11.12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12</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REDEMPTION OF SECURITIES AND SINKING FUNDS</w:t>
      </w:r>
    </w:p>
    <w:p>
      <w:pPr>
        <w:spacing w:after="0" w:line="140"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i w:val="1"/>
          <w:iCs w:val="1"/>
          <w:color w:val="auto"/>
        </w:rPr>
        <w:t>Applicability of Article.</w:t>
      </w:r>
      <w:r>
        <w:rPr>
          <w:rFonts w:ascii="Times New Roman" w:cs="Times New Roman" w:eastAsia="Times New Roman" w:hAnsi="Times New Roman"/>
          <w:sz w:val="16"/>
          <w:szCs w:val="16"/>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12.02 </w:t>
      </w:r>
      <w:r>
        <w:rPr>
          <w:rFonts w:ascii="Times New Roman" w:cs="Times New Roman" w:eastAsia="Times New Roman" w:hAnsi="Times New Roman"/>
          <w:sz w:val="16"/>
          <w:szCs w:val="16"/>
          <w:i w:val="1"/>
          <w:iCs w:val="1"/>
          <w:color w:val="auto"/>
        </w:rPr>
        <w:t>Notice of Redemption; Partial Redemptions.</w:t>
      </w:r>
      <w:r>
        <w:rPr>
          <w:rFonts w:ascii="Times New Roman" w:cs="Times New Roman" w:eastAsia="Times New Roman" w:hAnsi="Times New Roman"/>
          <w:sz w:val="16"/>
          <w:szCs w:val="16"/>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36"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12" w:name="page113"/>
    <w:bookmarkEnd w:id="112"/>
    <w:p>
      <w:pPr>
        <w:ind w:left="1340" w:right="1379"/>
        <w:spacing w:after="0" w:line="249" w:lineRule="auto"/>
        <w:rPr>
          <w:sz w:val="20"/>
          <w:szCs w:val="20"/>
          <w:color w:val="auto"/>
        </w:rPr>
      </w:pPr>
      <w:r>
        <w:rPr>
          <w:rFonts w:ascii="Times New Roman" w:cs="Times New Roman" w:eastAsia="Times New Roman" w:hAnsi="Times New Roman"/>
          <w:sz w:val="16"/>
          <w:szCs w:val="16"/>
          <w:color w:val="auto"/>
        </w:rPr>
        <w:t>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28" w:lineRule="exact"/>
        <w:rPr>
          <w:sz w:val="20"/>
          <w:szCs w:val="20"/>
          <w:color w:val="auto"/>
        </w:rPr>
      </w:pPr>
    </w:p>
    <w:p>
      <w:pPr>
        <w:jc w:val="both"/>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The notice of redemption of Securities of any series to be redeemed at the option of the Issuer shall be given by the Issuer or, at the Issuer’s request, by the Trustee in the name and at the expense of the Issuer.</w:t>
      </w:r>
    </w:p>
    <w:p>
      <w:pPr>
        <w:spacing w:after="0" w:line="123" w:lineRule="exact"/>
        <w:rPr>
          <w:sz w:val="20"/>
          <w:szCs w:val="20"/>
          <w:color w:val="auto"/>
        </w:rPr>
      </w:pPr>
    </w:p>
    <w:p>
      <w:pPr>
        <w:ind w:left="1340" w:right="1419" w:firstLine="486"/>
        <w:spacing w:after="0" w:line="239" w:lineRule="auto"/>
        <w:rPr>
          <w:sz w:val="20"/>
          <w:szCs w:val="20"/>
          <w:color w:val="auto"/>
        </w:rPr>
      </w:pPr>
      <w:r>
        <w:rPr>
          <w:rFonts w:ascii="Times New Roman" w:cs="Times New Roman" w:eastAsia="Times New Roman" w:hAnsi="Times New Roman"/>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47"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31" w:lineRule="exact"/>
        <w:rPr>
          <w:sz w:val="20"/>
          <w:szCs w:val="20"/>
          <w:color w:val="auto"/>
        </w:rPr>
      </w:pPr>
    </w:p>
    <w:p>
      <w:pPr>
        <w:ind w:left="1340" w:right="139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i w:val="1"/>
          <w:iCs w:val="1"/>
          <w:color w:val="auto"/>
        </w:rPr>
        <w:t>Payment of Securities Called for Redemption.</w:t>
      </w:r>
      <w:r>
        <w:rPr>
          <w:rFonts w:ascii="Times New Roman" w:cs="Times New Roman" w:eastAsia="Times New Roman" w:hAnsi="Times New Roman"/>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3" w:name="page114"/>
    <w:bookmarkEnd w:id="113"/>
    <w:p>
      <w:pPr>
        <w:ind w:left="1340" w:right="1439"/>
        <w:spacing w:after="0" w:line="241" w:lineRule="auto"/>
        <w:rPr>
          <w:sz w:val="20"/>
          <w:szCs w:val="20"/>
          <w:color w:val="auto"/>
        </w:rPr>
      </w:pPr>
      <w:r>
        <w:rPr>
          <w:rFonts w:ascii="Times New Roman" w:cs="Times New Roman" w:eastAsia="Times New Roman" w:hAnsi="Times New Roman"/>
          <w:sz w:val="16"/>
          <w:szCs w:val="16"/>
          <w:color w:val="auto"/>
        </w:rPr>
        <w:t xml:space="preserve">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payment of interest becoming due on or prior to the date fixed for redemption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payable to the Holders of such Securities registered as such on the relevant record date subject to the terms and provisions of Sections 2.03 and 2.07 hereof.</w:t>
      </w:r>
    </w:p>
    <w:p>
      <w:pPr>
        <w:spacing w:after="0" w:line="133"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34" w:lineRule="exact"/>
        <w:rPr>
          <w:sz w:val="20"/>
          <w:szCs w:val="20"/>
          <w:color w:val="auto"/>
        </w:rPr>
      </w:pPr>
    </w:p>
    <w:p>
      <w:pPr>
        <w:ind w:left="1340" w:right="1399" w:firstLine="486"/>
        <w:spacing w:after="0" w:line="249" w:lineRule="auto"/>
        <w:rPr>
          <w:sz w:val="20"/>
          <w:szCs w:val="20"/>
          <w:color w:val="auto"/>
        </w:rPr>
      </w:pPr>
      <w:r>
        <w:rPr>
          <w:rFonts w:ascii="Times New Roman" w:cs="Times New Roman" w:eastAsia="Times New Roman" w:hAnsi="Times New Roman"/>
          <w:sz w:val="16"/>
          <w:szCs w:val="16"/>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26" w:lineRule="exact"/>
        <w:rPr>
          <w:sz w:val="20"/>
          <w:szCs w:val="20"/>
          <w:color w:val="auto"/>
        </w:rPr>
      </w:pPr>
    </w:p>
    <w:p>
      <w:pPr>
        <w:ind w:left="1340" w:right="139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12.04 </w:t>
      </w:r>
      <w:r>
        <w:rPr>
          <w:rFonts w:ascii="Times New Roman" w:cs="Times New Roman" w:eastAsia="Times New Roman" w:hAnsi="Times New Roman"/>
          <w:sz w:val="16"/>
          <w:szCs w:val="16"/>
          <w:i w:val="1"/>
          <w:iCs w:val="1"/>
          <w:color w:val="auto"/>
        </w:rPr>
        <w:t>Exclusion of Certain Securities from Eligibility for Selection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Redemption. </w:t>
      </w:r>
      <w:r>
        <w:rPr>
          <w:rFonts w:ascii="Times New Roman" w:cs="Times New Roman" w:eastAsia="Times New Roman" w:hAnsi="Times New Roman"/>
          <w:sz w:val="16"/>
          <w:szCs w:val="16"/>
          <w:color w:val="auto"/>
        </w:rPr>
        <w:t>Securities shall be excluded from eligibility for selection for redemption if they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 xml:space="preserve">Section 12.05 </w:t>
      </w:r>
      <w:r>
        <w:rPr>
          <w:rFonts w:ascii="Times New Roman" w:cs="Times New Roman" w:eastAsia="Times New Roman" w:hAnsi="Times New Roman"/>
          <w:sz w:val="16"/>
          <w:szCs w:val="16"/>
          <w:i w:val="1"/>
          <w:iCs w:val="1"/>
          <w:color w:val="auto"/>
        </w:rPr>
        <w:t>Mandatory and Optional Sinking Funds.</w:t>
      </w:r>
      <w:r>
        <w:rPr>
          <w:rFonts w:ascii="Times New Roman" w:cs="Times New Roman" w:eastAsia="Times New Roman" w:hAnsi="Times New Roman"/>
          <w:sz w:val="16"/>
          <w:szCs w:val="16"/>
          <w:color w:val="auto"/>
        </w:rPr>
        <w:t xml:space="preserve"> The minimum amount of any</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sinking fund payment provided for by the terms of the Securities of any series is herein referred</w:t>
      </w:r>
    </w:p>
    <w:p>
      <w:pPr>
        <w:ind w:left="1340"/>
        <w:spacing w:after="0" w:line="237" w:lineRule="auto"/>
        <w:rPr>
          <w:sz w:val="20"/>
          <w:szCs w:val="20"/>
          <w:color w:val="auto"/>
        </w:rPr>
      </w:pPr>
      <w:r>
        <w:rPr>
          <w:rFonts w:ascii="Times New Roman" w:cs="Times New Roman" w:eastAsia="Times New Roman" w:hAnsi="Times New Roman"/>
          <w:sz w:val="16"/>
          <w:szCs w:val="16"/>
          <w:color w:val="auto"/>
        </w:rPr>
        <w:t>to as a “</w:t>
      </w:r>
      <w:r>
        <w:rPr>
          <w:rFonts w:ascii="Times New Roman" w:cs="Times New Roman" w:eastAsia="Times New Roman" w:hAnsi="Times New Roman"/>
          <w:sz w:val="16"/>
          <w:szCs w:val="16"/>
          <w:b w:val="1"/>
          <w:bCs w:val="1"/>
          <w:color w:val="auto"/>
        </w:rPr>
        <w:t>mandatory sinking fund payment</w:t>
      </w:r>
      <w:r>
        <w:rPr>
          <w:rFonts w:ascii="Times New Roman" w:cs="Times New Roman" w:eastAsia="Times New Roman" w:hAnsi="Times New Roman"/>
          <w:sz w:val="16"/>
          <w:szCs w:val="16"/>
          <w:color w:val="auto"/>
        </w:rPr>
        <w:t>”, and any payment in excess of such minimum</w:t>
      </w:r>
    </w:p>
    <w:p>
      <w:pPr>
        <w:ind w:left="1340"/>
        <w:spacing w:after="0"/>
        <w:rPr>
          <w:sz w:val="20"/>
          <w:szCs w:val="20"/>
          <w:color w:val="auto"/>
        </w:rPr>
      </w:pPr>
      <w:r>
        <w:rPr>
          <w:rFonts w:ascii="Times New Roman" w:cs="Times New Roman" w:eastAsia="Times New Roman" w:hAnsi="Times New Roman"/>
          <w:sz w:val="16"/>
          <w:szCs w:val="16"/>
          <w:color w:val="auto"/>
        </w:rPr>
        <w:t>amount provided for by the terms of the Securities of any series is herein referred to as an</w:t>
      </w:r>
    </w:p>
    <w:p>
      <w:pPr>
        <w:ind w:left="134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sinking fund payment</w:t>
      </w:r>
      <w:r>
        <w:rPr>
          <w:rFonts w:ascii="Times New Roman" w:cs="Times New Roman" w:eastAsia="Times New Roman" w:hAnsi="Times New Roman"/>
          <w:sz w:val="16"/>
          <w:szCs w:val="16"/>
          <w:color w:val="auto"/>
        </w:rPr>
        <w:t>”. The date on which a sinking fund payment is to be made is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herein referred to as the “</w:t>
      </w:r>
      <w:r>
        <w:rPr>
          <w:rFonts w:ascii="Times New Roman" w:cs="Times New Roman" w:eastAsia="Times New Roman" w:hAnsi="Times New Roman"/>
          <w:sz w:val="16"/>
          <w:szCs w:val="16"/>
          <w:b w:val="1"/>
          <w:bCs w:val="1"/>
          <w:color w:val="auto"/>
        </w:rPr>
        <w:t>sinking fund payment date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340" w:right="1479" w:firstLine="486"/>
        <w:spacing w:after="0" w:line="243" w:lineRule="auto"/>
        <w:rPr>
          <w:sz w:val="20"/>
          <w:szCs w:val="20"/>
          <w:color w:val="auto"/>
        </w:rPr>
      </w:pPr>
      <w:r>
        <w:rPr>
          <w:rFonts w:ascii="Times New Roman" w:cs="Times New Roman" w:eastAsia="Times New Roman" w:hAnsi="Times New Roman"/>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4" w:name="page115"/>
    <w:bookmarkEnd w:id="114"/>
    <w:p>
      <w:pPr>
        <w:ind w:left="1340" w:right="1439"/>
        <w:spacing w:after="0" w:line="244" w:lineRule="auto"/>
        <w:rPr>
          <w:sz w:val="20"/>
          <w:szCs w:val="20"/>
          <w:color w:val="auto"/>
        </w:rPr>
      </w:pPr>
      <w:r>
        <w:rPr>
          <w:rFonts w:ascii="Times New Roman" w:cs="Times New Roman" w:eastAsia="Times New Roman" w:hAnsi="Times New Roman"/>
          <w:sz w:val="16"/>
          <w:szCs w:val="16"/>
          <w:color w:val="auto"/>
        </w:rPr>
        <w:t>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34"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42"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5" w:name="page116"/>
    <w:bookmarkEnd w:id="115"/>
    <w:p>
      <w:pPr>
        <w:ind w:left="1340" w:right="1379"/>
        <w:spacing w:after="0"/>
        <w:rPr>
          <w:sz w:val="20"/>
          <w:szCs w:val="20"/>
          <w:color w:val="auto"/>
        </w:rPr>
      </w:pPr>
      <w:r>
        <w:rPr>
          <w:rFonts w:ascii="Times New Roman" w:cs="Times New Roman" w:eastAsia="Times New Roman" w:hAnsi="Times New Roman"/>
          <w:sz w:val="16"/>
          <w:szCs w:val="16"/>
          <w:color w:val="auto"/>
        </w:rPr>
        <w:t xml:space="preserve">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317" w:lineRule="exact"/>
        <w:rPr>
          <w:sz w:val="20"/>
          <w:szCs w:val="20"/>
          <w:color w:val="auto"/>
        </w:rPr>
      </w:pPr>
    </w:p>
    <w:p>
      <w:pPr>
        <w:ind w:left="1340" w:right="1379" w:firstLine="486"/>
        <w:spacing w:after="0" w:line="255" w:lineRule="auto"/>
        <w:rPr>
          <w:sz w:val="20"/>
          <w:szCs w:val="20"/>
          <w:color w:val="auto"/>
        </w:rPr>
      </w:pPr>
      <w:r>
        <w:rPr>
          <w:rFonts w:ascii="Times New Roman" w:cs="Times New Roman" w:eastAsia="Times New Roman" w:hAnsi="Times New Roman"/>
          <w:sz w:val="16"/>
          <w:szCs w:val="16"/>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23"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6" w:name="page117"/>
    <w:bookmarkEnd w:id="116"/>
    <w:p>
      <w:pPr>
        <w:ind w:left="1340" w:right="1499"/>
        <w:spacing w:after="0" w:line="272" w:lineRule="auto"/>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_____________.</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XILIO THERAPEUTICS, INC.</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w:t>
      </w:r>
    </w:p>
    <w:p>
      <w:pPr>
        <w:ind w:left="3720"/>
        <w:spacing w:after="0"/>
        <w:rPr>
          <w:sz w:val="20"/>
          <w:szCs w:val="20"/>
          <w:color w:val="auto"/>
        </w:rPr>
      </w:pPr>
      <w:r>
        <w:rPr>
          <w:rFonts w:ascii="Times New Roman" w:cs="Times New Roman" w:eastAsia="Times New Roman" w:hAnsi="Times New Roman"/>
          <w:sz w:val="16"/>
          <w:szCs w:val="16"/>
          <w:color w:val="auto"/>
        </w:rPr>
        <w:t>Title:</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Attest:</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w:t>
      </w:r>
    </w:p>
    <w:p>
      <w:pPr>
        <w:ind w:left="3720"/>
        <w:spacing w:after="0"/>
        <w:rPr>
          <w:sz w:val="20"/>
          <w:szCs w:val="20"/>
          <w:color w:val="auto"/>
        </w:rPr>
      </w:pPr>
      <w:r>
        <w:rPr>
          <w:rFonts w:ascii="Times New Roman" w:cs="Times New Roman" w:eastAsia="Times New Roman" w:hAnsi="Times New Roman"/>
          <w:sz w:val="16"/>
          <w:szCs w:val="16"/>
          <w:color w:val="auto"/>
        </w:rPr>
        <w:t>Title:</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___________, Trustee</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w:t>
      </w:r>
    </w:p>
    <w:p>
      <w:pPr>
        <w:ind w:left="372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7" w:name="page118"/>
    <w:bookmarkEnd w:id="117"/>
    <w:p>
      <w:pPr>
        <w:ind w:left="6860"/>
        <w:spacing w:after="0"/>
        <w:rPr>
          <w:sz w:val="20"/>
          <w:szCs w:val="20"/>
          <w:color w:val="auto"/>
        </w:rPr>
      </w:pPr>
      <w:r>
        <w:rPr>
          <w:rFonts w:ascii="Times New Roman" w:cs="Times New Roman" w:eastAsia="Times New Roman" w:hAnsi="Times New Roman"/>
          <w:sz w:val="16"/>
          <w:szCs w:val="16"/>
          <w:b w:val="1"/>
          <w:bCs w:val="1"/>
          <w:color w:val="auto"/>
        </w:rPr>
        <w:t>Exhibit 4.4</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XILIO THERAPEUTICS, INC.</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and</w:t>
      </w:r>
    </w:p>
    <w:p>
      <w:pPr>
        <w:jc w:val="center"/>
        <w:ind w:right="59"/>
        <w:spacing w:after="0" w:line="237" w:lineRule="auto"/>
        <w:rPr>
          <w:sz w:val="20"/>
          <w:szCs w:val="20"/>
          <w:color w:val="auto"/>
        </w:rPr>
      </w:pPr>
      <w:r>
        <w:rPr>
          <w:rFonts w:ascii="Times New Roman" w:cs="Times New Roman" w:eastAsia="Times New Roman" w:hAnsi="Times New Roman"/>
          <w:sz w:val="16"/>
          <w:szCs w:val="16"/>
          <w:color w:val="auto"/>
        </w:rPr>
        <w:t>Trustee</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INDENTURE</w:t>
      </w:r>
    </w:p>
    <w:p>
      <w:pPr>
        <w:ind w:left="3480"/>
        <w:spacing w:after="0" w:line="237" w:lineRule="auto"/>
        <w:rPr>
          <w:sz w:val="20"/>
          <w:szCs w:val="20"/>
          <w:color w:val="auto"/>
        </w:rPr>
      </w:pPr>
      <w:r>
        <w:rPr>
          <w:rFonts w:ascii="Times New Roman" w:cs="Times New Roman" w:eastAsia="Times New Roman" w:hAnsi="Times New Roman"/>
          <w:sz w:val="16"/>
          <w:szCs w:val="16"/>
          <w:color w:val="auto"/>
        </w:rPr>
        <w:t xml:space="preserve">Dated as of </w:t>
      </w:r>
      <w:r>
        <w:rPr>
          <w:rFonts w:ascii="Times New Roman" w:cs="Times New Roman" w:eastAsia="Times New Roman" w:hAnsi="Times New Roman"/>
          <w:sz w:val="16"/>
          <w:szCs w:val="16"/>
          <w:b w:val="1"/>
          <w:bCs w:val="1"/>
          <w:color w:val="auto"/>
        </w:rPr>
        <w:t>_______________</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SUBORDINATED DEBT SECURITIES</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CROSS-REFERENCE TABLE</w:t>
      </w:r>
      <w:r>
        <w:rPr>
          <w:rFonts w:ascii="Times New Roman" w:cs="Times New Roman" w:eastAsia="Times New Roman" w:hAnsi="Times New Roman"/>
          <w:sz w:val="21"/>
          <w:szCs w:val="21"/>
          <w:b w:val="1"/>
          <w:bCs w:val="1"/>
          <w:color w:val="auto"/>
          <w:vertAlign w:val="superscript"/>
        </w:rPr>
        <w:t>1</w:t>
      </w:r>
    </w:p>
    <w:p>
      <w:pPr>
        <w:spacing w:after="0" w:line="286"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Section of Trust Indenture Act</w:t>
            </w:r>
          </w:p>
        </w:tc>
        <w:tc>
          <w:tcPr>
            <w:tcW w:w="46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Section of</w:t>
            </w:r>
          </w:p>
        </w:tc>
      </w:tr>
      <w:tr>
        <w:trPr>
          <w:trHeight w:val="203"/>
        </w:trPr>
        <w:tc>
          <w:tcPr>
            <w:tcW w:w="98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of 1939, as amended</w:t>
            </w:r>
          </w:p>
        </w:tc>
        <w:tc>
          <w:tcPr>
            <w:tcW w:w="46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Indenture</w:t>
            </w:r>
          </w:p>
        </w:tc>
      </w:tr>
      <w:tr>
        <w:trPr>
          <w:trHeight w:val="152"/>
        </w:trPr>
        <w:tc>
          <w:tcPr>
            <w:tcW w:w="980" w:type="dxa"/>
            <w:vAlign w:val="bottom"/>
          </w:tcPr>
          <w:p>
            <w:pPr>
              <w:spacing w:after="0"/>
              <w:rPr>
                <w:sz w:val="13"/>
                <w:szCs w:val="13"/>
                <w:color w:val="auto"/>
              </w:rPr>
            </w:pPr>
          </w:p>
        </w:tc>
        <w:tc>
          <w:tcPr>
            <w:tcW w:w="266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310(a)</w:t>
            </w:r>
          </w:p>
        </w:tc>
        <w:tc>
          <w:tcPr>
            <w:tcW w:w="3660" w:type="dxa"/>
            <w:vAlign w:val="bottom"/>
            <w:tcBorders>
              <w:top w:val="single" w:sz="8" w:color="auto"/>
            </w:tcBorders>
          </w:tcPr>
          <w:p>
            <w:pPr>
              <w:ind w:left="680"/>
              <w:spacing w:after="0" w:line="152" w:lineRule="exact"/>
              <w:rPr>
                <w:sz w:val="20"/>
                <w:szCs w:val="20"/>
                <w:color w:val="auto"/>
              </w:rPr>
            </w:pPr>
            <w:r>
              <w:rPr>
                <w:rFonts w:ascii="Times New Roman" w:cs="Times New Roman" w:eastAsia="Times New Roman" w:hAnsi="Times New Roman"/>
                <w:sz w:val="16"/>
                <w:szCs w:val="16"/>
                <w:color w:val="auto"/>
              </w:rPr>
              <w:t>6.09</w:t>
            </w:r>
          </w:p>
        </w:tc>
        <w:tc>
          <w:tcPr>
            <w:tcW w:w="980" w:type="dxa"/>
            <w:vAlign w:val="bottom"/>
          </w:tcPr>
          <w:p>
            <w:pPr>
              <w:spacing w:after="0"/>
              <w:rPr>
                <w:sz w:val="13"/>
                <w:szCs w:val="13"/>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6.08</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6.10</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310(c)</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311(c)</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4.04</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312(b)</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312(c)</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313(c)</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313(d)</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4.02</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314(b)</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314(c)</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2.04</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8.04</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9.01(c)</w:t>
            </w: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10.01(b)</w:t>
            </w: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314(d)</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314(e)</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314(f)</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5.11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315(c)</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315(d)</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980" w:type="dxa"/>
            <w:vAlign w:val="bottom"/>
          </w:tcPr>
          <w:p>
            <w:pPr>
              <w:spacing w:after="0"/>
              <w:rPr>
                <w:sz w:val="15"/>
                <w:szCs w:val="15"/>
                <w:color w:val="auto"/>
              </w:rPr>
            </w:pPr>
          </w:p>
        </w:tc>
      </w:tr>
      <w:tr>
        <w:trPr>
          <w:trHeight w:val="210"/>
        </w:trPr>
        <w:tc>
          <w:tcPr>
            <w:tcW w:w="9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315(e)</w:t>
            </w:r>
          </w:p>
        </w:tc>
        <w:tc>
          <w:tcPr>
            <w:tcW w:w="3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5.12</w:t>
            </w:r>
          </w:p>
        </w:tc>
        <w:tc>
          <w:tcPr>
            <w:tcW w:w="980" w:type="dxa"/>
            <w:vAlign w:val="bottom"/>
          </w:tcPr>
          <w:p>
            <w:pPr>
              <w:spacing w:after="0"/>
              <w:rPr>
                <w:sz w:val="18"/>
                <w:szCs w:val="18"/>
                <w:color w:val="auto"/>
              </w:rPr>
            </w:pPr>
          </w:p>
        </w:tc>
      </w:tr>
      <w:tr>
        <w:trPr>
          <w:trHeight w:val="1046"/>
        </w:trPr>
        <w:tc>
          <w:tcPr>
            <w:tcW w:w="9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18" w:name="page119"/>
    <w:bookmarkEnd w:id="118"/>
    <w:tbl>
      <w:tblPr>
        <w:tblLayout w:type="fixed"/>
        <w:tblInd w:w="1340" w:type="dxa"/>
        <w:tblCellMar>
          <w:top w:w="0" w:type="dxa"/>
          <w:left w:w="0" w:type="dxa"/>
          <w:bottom w:w="0" w:type="dxa"/>
          <w:right w:w="0" w:type="dxa"/>
        </w:tblCellMar>
      </w:tblPr>
      <w:tr>
        <w:trPr>
          <w:trHeight w:val="184"/>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316(a)</w:t>
            </w:r>
          </w:p>
        </w:tc>
        <w:tc>
          <w:tcPr>
            <w:tcW w:w="182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5.09</w:t>
            </w:r>
          </w:p>
        </w:tc>
      </w:tr>
      <w:tr>
        <w:trPr>
          <w:trHeight w:val="182"/>
        </w:trPr>
        <w:tc>
          <w:tcPr>
            <w:tcW w:w="1900" w:type="dxa"/>
            <w:vAlign w:val="bottom"/>
          </w:tcPr>
          <w:p>
            <w:pPr>
              <w:spacing w:after="0"/>
              <w:rPr>
                <w:sz w:val="15"/>
                <w:szCs w:val="15"/>
                <w:color w:val="auto"/>
              </w:rPr>
            </w:pP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5.10</w:t>
            </w:r>
          </w:p>
        </w:tc>
      </w:tr>
      <w:tr>
        <w:trPr>
          <w:trHeight w:val="182"/>
        </w:trPr>
        <w:tc>
          <w:tcPr>
            <w:tcW w:w="1900" w:type="dxa"/>
            <w:vAlign w:val="bottom"/>
          </w:tcPr>
          <w:p>
            <w:pPr>
              <w:spacing w:after="0"/>
              <w:rPr>
                <w:sz w:val="15"/>
                <w:szCs w:val="15"/>
                <w:color w:val="auto"/>
              </w:rPr>
            </w:pP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7.04</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316(b)</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5.06</w:t>
            </w:r>
          </w:p>
        </w:tc>
      </w:tr>
      <w:tr>
        <w:trPr>
          <w:trHeight w:val="182"/>
        </w:trPr>
        <w:tc>
          <w:tcPr>
            <w:tcW w:w="1900" w:type="dxa"/>
            <w:vAlign w:val="bottom"/>
          </w:tcPr>
          <w:p>
            <w:pPr>
              <w:spacing w:after="0"/>
              <w:rPr>
                <w:sz w:val="15"/>
                <w:szCs w:val="15"/>
                <w:color w:val="auto"/>
              </w:rPr>
            </w:pP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5.10</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316(c)</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7.02</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317(a)</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5.04</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317(b)</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3.04</w:t>
            </w:r>
          </w:p>
        </w:tc>
      </w:tr>
      <w:tr>
        <w:trPr>
          <w:trHeight w:val="210"/>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318(a)</w:t>
            </w:r>
          </w:p>
        </w:tc>
        <w:tc>
          <w:tcPr>
            <w:tcW w:w="1820" w:type="dxa"/>
            <w:vAlign w:val="bottom"/>
          </w:tcPr>
          <w:p>
            <w:pPr>
              <w:ind w:left="1440"/>
              <w:spacing w:after="0"/>
              <w:rPr>
                <w:sz w:val="20"/>
                <w:szCs w:val="20"/>
                <w:color w:val="auto"/>
              </w:rPr>
            </w:pPr>
            <w:r>
              <w:rPr>
                <w:rFonts w:ascii="Times New Roman" w:cs="Times New Roman" w:eastAsia="Times New Roman" w:hAnsi="Times New Roman"/>
                <w:sz w:val="16"/>
                <w:szCs w:val="16"/>
                <w:color w:val="auto"/>
                <w:w w:val="99"/>
              </w:rPr>
              <w:t>11.07</w:t>
            </w:r>
          </w:p>
        </w:tc>
      </w:tr>
    </w:tbl>
    <w:p>
      <w:pPr>
        <w:spacing w:after="0" w:line="334" w:lineRule="exact"/>
        <w:rPr>
          <w:sz w:val="20"/>
          <w:szCs w:val="20"/>
          <w:color w:val="auto"/>
        </w:rPr>
      </w:pPr>
    </w:p>
    <w:p>
      <w:pPr>
        <w:ind w:left="1340" w:right="1839" w:firstLine="3"/>
        <w:spacing w:after="0" w:line="219" w:lineRule="auto"/>
        <w:tabs>
          <w:tab w:leader="none" w:pos="1419" w:val="left"/>
        </w:tabs>
        <w:numPr>
          <w:ilvl w:val="0"/>
          <w:numId w:val="8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682625</wp:posOffset>
            </wp:positionV>
            <wp:extent cx="528764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635</wp:posOffset>
            </wp:positionV>
            <wp:extent cx="401447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119" w:name="page120"/>
    <w:bookmarkEnd w:id="119"/>
    <w:tbl>
      <w:tblPr>
        <w:tblLayout w:type="fixed"/>
        <w:tblInd w:w="1340" w:type="dxa"/>
        <w:tblCellMar>
          <w:top w:w="0" w:type="dxa"/>
          <w:left w:w="0" w:type="dxa"/>
          <w:bottom w:w="0" w:type="dxa"/>
          <w:right w:w="0" w:type="dxa"/>
        </w:tblCellMar>
      </w:tblPr>
      <w:tr>
        <w:trPr>
          <w:trHeight w:val="212"/>
        </w:trPr>
        <w:tc>
          <w:tcPr>
            <w:tcW w:w="1380" w:type="dxa"/>
            <w:vAlign w:val="bottom"/>
          </w:tcPr>
          <w:p>
            <w:pPr>
              <w:spacing w:after="0"/>
              <w:rPr>
                <w:sz w:val="18"/>
                <w:szCs w:val="18"/>
                <w:color w:val="auto"/>
              </w:rPr>
            </w:pPr>
          </w:p>
        </w:tc>
        <w:tc>
          <w:tcPr>
            <w:tcW w:w="474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00" w:type="dxa"/>
            <w:vAlign w:val="bottom"/>
          </w:tcPr>
          <w:p>
            <w:pPr>
              <w:spacing w:after="0"/>
              <w:rPr>
                <w:sz w:val="18"/>
                <w:szCs w:val="18"/>
                <w:color w:val="auto"/>
              </w:rPr>
            </w:pPr>
          </w:p>
        </w:tc>
      </w:tr>
      <w:tr>
        <w:trPr>
          <w:trHeight w:val="344"/>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 DEFINITIONS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1.01  Certain Terms Defined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2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2.01</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Forms Generally</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2.02  Form of Trustee’s Certificate of Authentication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2.03  Amount Unlimited; Issuable in Series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2.04  Authentication and Delivery 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2.05  Execution 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2.06  Certificate of Authentication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2.07  Denomination and Date of Securities; Payments of 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2.08  Registration, Transfer and Exchange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2.09  Mutilated, Defaced, Destroyed, Lost and Stolen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2.10  Cancellation of Securities; Destruction Thereof</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2.11</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Temporary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2.12</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CUSIP Numbers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3 COVENANTS OF THE ISSUER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3.01  Payment of Principal and 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3.02  Offices for Payments, Etc</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3.03  Appointment to Fill a Vacancy in Office of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3.04</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Paying Agents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3.05  Written Statement to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4 SECURITYHOLDERS LISTS AND REPORTS BY THE ISSUER AND THE</w:t>
            </w:r>
          </w:p>
        </w:tc>
        <w:tc>
          <w:tcPr>
            <w:tcW w:w="200" w:type="dxa"/>
            <w:vAlign w:val="bottom"/>
          </w:tcPr>
          <w:p>
            <w:pPr>
              <w:spacing w:after="0"/>
              <w:rPr>
                <w:sz w:val="19"/>
                <w:szCs w:val="19"/>
                <w:color w:val="auto"/>
              </w:rPr>
            </w:pPr>
          </w:p>
        </w:tc>
      </w:tr>
      <w:tr>
        <w:trPr>
          <w:trHeight w:val="210"/>
        </w:trPr>
        <w:tc>
          <w:tcPr>
            <w:tcW w:w="6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5"/>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4.01  Issuer to Furnish Trustee Information as to Names and Addresses of</w:t>
            </w:r>
          </w:p>
        </w:tc>
        <w:tc>
          <w:tcPr>
            <w:tcW w:w="200" w:type="dxa"/>
            <w:vAlign w:val="bottom"/>
          </w:tcPr>
          <w:p>
            <w:pPr>
              <w:spacing w:after="0"/>
              <w:rPr>
                <w:sz w:val="19"/>
                <w:szCs w:val="19"/>
                <w:color w:val="auto"/>
              </w:rPr>
            </w:pPr>
          </w:p>
        </w:tc>
      </w:tr>
      <w:tr>
        <w:trPr>
          <w:trHeight w:val="210"/>
        </w:trPr>
        <w:tc>
          <w:tcPr>
            <w:tcW w:w="138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4.02  Reports by the Issuer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4.03  Reports by the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4.04  Preservation of Information; Communication with 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5 REMEDIES OF THE TRUSTEE AND SECURITYHOLDERS ON EVENT OF</w:t>
            </w:r>
          </w:p>
        </w:tc>
        <w:tc>
          <w:tcPr>
            <w:tcW w:w="200" w:type="dxa"/>
            <w:vAlign w:val="bottom"/>
          </w:tcPr>
          <w:p>
            <w:pPr>
              <w:spacing w:after="0"/>
              <w:rPr>
                <w:sz w:val="19"/>
                <w:szCs w:val="19"/>
                <w:color w:val="auto"/>
              </w:rPr>
            </w:pPr>
          </w:p>
        </w:tc>
      </w:tr>
      <w:tr>
        <w:trPr>
          <w:trHeight w:val="210"/>
        </w:trPr>
        <w:tc>
          <w:tcPr>
            <w:tcW w:w="6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DEFAULT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5.01  Event of Default Defined; Acceleration of Maturity; Waiver of Default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5.02  Collection of Debt by Trustee; Trustee May Prove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5.03  Application of Proceeds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20" w:name="page121"/>
    <w:bookmarkEnd w:id="120"/>
    <w:tbl>
      <w:tblPr>
        <w:tblLayout w:type="fixed"/>
        <w:tblInd w:w="1340" w:type="dxa"/>
        <w:tblCellMar>
          <w:top w:w="0" w:type="dxa"/>
          <w:left w:w="0" w:type="dxa"/>
          <w:bottom w:w="0" w:type="dxa"/>
          <w:right w:w="0" w:type="dxa"/>
        </w:tblCellMar>
      </w:tblPr>
      <w:tr>
        <w:trPr>
          <w:trHeight w:val="210"/>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5.04  Suits for Enforcement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5.05  Restoration of Rights on Abandonment of Proceedings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5.06  Limitations on Suits by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5.07  Unconditional Right of Securityholders to Institute Certain Suits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5.08  Powers and Remedies Cumulative; Delay or Omission Not Waiver of</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5.09  Control by Holders of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5.10  Waiver of Past Defaults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5.11  Trustee to Give Notice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5.12  Right of Court to Require Filing of Undertaking to Pay Costs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5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ARTICLE 6 CONCERNING THE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6.01  Duties and Responsibilities of the Trustee; During Default; Prior to</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6.02  Certain Rights of the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6.03  Trustee Not Responsible for Recitals, Disposition of Securities or</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Application of Proceeds Thereof</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6.04  Trustee and Agents May Hold Securities; Collections, Etc</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6.05  Moneys Held by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6.06  Compensation and Indemnification of Trustee and Its Prior Claim</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6.07  Right of Trustee to Rely on Officer’s Certificate, Etc</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6.08  Disqualification; Conflicting Interests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6.09  Persons Eligible for Appointment as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6.10  Resignation and Removal; Appointment of Successor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6.11  Acceptance of Appointment by Successor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6.12  Merger, Conversion, Consolidation or Succession to Business of</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6.13  Preferential Collection of Claims Against the Issuer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ARTICLE 7 CONCERNING THE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7.01  Evidence of Action Taken by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7.02  Proof of Execution of Instruments and of Holding of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7.03  Holders to Be Treated as Owners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7.04  Securities Owned by Issuer Deemed Not Outstanding</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7.05  Right of Revocation of Action Taken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ARTICLE 8 SUPPLEMENTAL INDENTURES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8.01  Supplemental Indentures Without Consent of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1" w:name="page122"/>
    <w:bookmarkEnd w:id="121"/>
    <w:tbl>
      <w:tblPr>
        <w:tblLayout w:type="fixed"/>
        <w:tblInd w:w="1340" w:type="dxa"/>
        <w:tblCellMar>
          <w:top w:w="0" w:type="dxa"/>
          <w:left w:w="0" w:type="dxa"/>
          <w:bottom w:w="0" w:type="dxa"/>
          <w:right w:w="0" w:type="dxa"/>
        </w:tblCellMar>
      </w:tblPr>
      <w:tr>
        <w:trPr>
          <w:trHeight w:val="210"/>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Indentures With Consent of Securityholders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Supplemental Indenture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8.04</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Documents to Be Given to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8.05</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Notation on Securities in Respect of Supplemental Indentures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9 CONSOLIDATION, MERGER, SALE OR CONVEYANCE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Issuer May Consolidate, Etc., on Certain Terms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Successor Issuer Substituted</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10 SATISFACTION AND DISCHARGE OF INDENTURE; DEFEASANCE;</w:t>
            </w:r>
          </w:p>
        </w:tc>
        <w:tc>
          <w:tcPr>
            <w:tcW w:w="260" w:type="dxa"/>
            <w:vAlign w:val="bottom"/>
          </w:tcPr>
          <w:p>
            <w:pPr>
              <w:spacing w:after="0"/>
              <w:rPr>
                <w:sz w:val="19"/>
                <w:szCs w:val="19"/>
                <w:color w:val="auto"/>
              </w:rPr>
            </w:pPr>
          </w:p>
        </w:tc>
      </w:tr>
      <w:tr>
        <w:trPr>
          <w:trHeight w:val="210"/>
        </w:trPr>
        <w:tc>
          <w:tcPr>
            <w:tcW w:w="6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UNCLAIMED MONEYS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Application by Trustee of Funds Deposited for Payment of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 of Moneys Held by Paying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10.04</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Return of Moneys Held by Trustee and Paying Agent Unclaimed for</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Two Years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10.05</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Indemnity for U.S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11 MISCELLANEOUS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Recourse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Provisions of Indenture for the Sole Benefit of Parties and Holders of</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Successors and Assigns of Issuer Bound by Indenture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11.04</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Notices and Demands on Issuer, Trustee and Holders of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11.05</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Officer’s Certificates and Opinions of Counsel; Statements to Be</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Contained Therein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11.06</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Due on Saturdays, Sundays and Holidays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11.07</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Conflict of Any Provision of Indenture With Trust Indenture Act of</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1939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11.08</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York Law to Govern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11.09</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Counterparts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11.10</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Headings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11.11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Actions by Successor</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11.12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12 REDEMPTION OF SECURITIES AND SINKING FUNDS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Applicability of Article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 of Redemption; Partial Redemptions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 of Securities Called for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2" w:name="page123"/>
    <w:bookmarkEnd w:id="122"/>
    <w:tbl>
      <w:tblPr>
        <w:tblLayout w:type="fixed"/>
        <w:tblInd w:w="1340" w:type="dxa"/>
        <w:tblCellMar>
          <w:top w:w="0" w:type="dxa"/>
          <w:left w:w="0" w:type="dxa"/>
          <w:bottom w:w="0" w:type="dxa"/>
          <w:right w:w="0" w:type="dxa"/>
        </w:tblCellMar>
      </w:tblPr>
      <w:tr>
        <w:trPr>
          <w:trHeight w:val="184"/>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12.04</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Exclusion of Certain Securities from Eligibility for Selection for</w:t>
            </w:r>
          </w:p>
        </w:tc>
        <w:tc>
          <w:tcPr>
            <w:tcW w:w="420" w:type="dxa"/>
            <w:vAlign w:val="bottom"/>
          </w:tcPr>
          <w:p>
            <w:pPr>
              <w:spacing w:after="0"/>
              <w:rPr>
                <w:sz w:val="16"/>
                <w:szCs w:val="16"/>
                <w:color w:val="auto"/>
              </w:rPr>
            </w:pPr>
          </w:p>
        </w:tc>
      </w:tr>
      <w:tr>
        <w:trPr>
          <w:trHeight w:val="210"/>
        </w:trPr>
        <w:tc>
          <w:tcPr>
            <w:tcW w:w="142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5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12.05 Mandatory and Optional Sinking Funds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13 SUBORDINATION OF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13.01</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Agreement of Subordination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13.02</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to Securityholders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13.03</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Subrogation of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13.04</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Authorization by Securityholders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13.05</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 to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13.06</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Trustee’s Relation to Senior Indebtedness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53"/>
        </w:trPr>
        <w:tc>
          <w:tcPr>
            <w:tcW w:w="5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13.07 No Impairment of Subordination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13.08</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Rights of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123" w:name="page124"/>
    <w:bookmarkEnd w:id="123"/>
    <w:p>
      <w:pPr>
        <w:ind w:left="1820"/>
        <w:spacing w:after="0"/>
        <w:rPr>
          <w:sz w:val="20"/>
          <w:szCs w:val="20"/>
          <w:color w:val="auto"/>
        </w:rPr>
      </w:pPr>
      <w:r>
        <w:rPr>
          <w:rFonts w:ascii="Times New Roman" w:cs="Times New Roman" w:eastAsia="Times New Roman" w:hAnsi="Times New Roman"/>
          <w:sz w:val="16"/>
          <w:szCs w:val="16"/>
          <w:color w:val="auto"/>
        </w:rPr>
        <w:t>THIS INDENTURE, dated as of _________ between Xilio Therapeutics, Inc., a</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Delaware corporation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and ________, a _______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60" w:lineRule="exact"/>
        <w:rPr>
          <w:sz w:val="20"/>
          <w:szCs w:val="20"/>
          <w:color w:val="auto"/>
        </w:rPr>
      </w:pPr>
    </w:p>
    <w:p>
      <w:pPr>
        <w:jc w:val="both"/>
        <w:ind w:left="1340" w:right="1559" w:firstLine="486"/>
        <w:spacing w:after="0" w:line="249" w:lineRule="auto"/>
        <w:rPr>
          <w:sz w:val="20"/>
          <w:szCs w:val="20"/>
          <w:color w:val="auto"/>
        </w:rPr>
      </w:pPr>
      <w:r>
        <w:rPr>
          <w:rFonts w:ascii="Times New Roman" w:cs="Times New Roman" w:eastAsia="Times New Roman" w:hAnsi="Times New Roman"/>
          <w:sz w:val="16"/>
          <w:szCs w:val="16"/>
          <w:color w:val="auto"/>
        </w:rPr>
        <w:t>WHEREAS, the Issuer may from time to time duly authorize the issue of its unsecured subordinated debentures, notes or other evidences of indebtedness to be issued in one or more series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up to such principal amount or amounts as may from time to time be authorized in accordance with the terms of this Indenture;</w:t>
      </w:r>
    </w:p>
    <w:p>
      <w:pPr>
        <w:spacing w:after="0" w:line="128" w:lineRule="exact"/>
        <w:rPr>
          <w:sz w:val="20"/>
          <w:szCs w:val="20"/>
          <w:color w:val="auto"/>
        </w:rPr>
      </w:pPr>
    </w:p>
    <w:p>
      <w:pPr>
        <w:jc w:val="both"/>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WHEREAS, the Issuer has duly authorized the execution and delivery of this Indenture to provide, among other things, for the authentication, delivery and administration of the Securities; and</w:t>
      </w:r>
    </w:p>
    <w:p>
      <w:pPr>
        <w:spacing w:after="0" w:line="123" w:lineRule="exact"/>
        <w:rPr>
          <w:sz w:val="20"/>
          <w:szCs w:val="20"/>
          <w:color w:val="auto"/>
        </w:rPr>
      </w:pPr>
    </w:p>
    <w:p>
      <w:pPr>
        <w:ind w:left="1340" w:right="1439" w:firstLine="486"/>
        <w:spacing w:after="0" w:line="272" w:lineRule="auto"/>
        <w:rPr>
          <w:sz w:val="20"/>
          <w:szCs w:val="20"/>
          <w:color w:val="auto"/>
        </w:rPr>
      </w:pPr>
      <w:r>
        <w:rPr>
          <w:rFonts w:ascii="Times New Roman" w:cs="Times New Roman" w:eastAsia="Times New Roman" w:hAnsi="Times New Roman"/>
          <w:sz w:val="16"/>
          <w:szCs w:val="16"/>
          <w:color w:val="auto"/>
        </w:rPr>
        <w:t>WHEREAS, all things necessary to make this Indenture a valid indenture and agreement according to its terms have been done;</w:t>
      </w:r>
    </w:p>
    <w:p>
      <w:pPr>
        <w:spacing w:after="0" w:line="11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NOW, THEREFORE:</w:t>
      </w:r>
    </w:p>
    <w:p>
      <w:pPr>
        <w:spacing w:after="0" w:line="160" w:lineRule="exact"/>
        <w:rPr>
          <w:sz w:val="20"/>
          <w:szCs w:val="20"/>
          <w:color w:val="auto"/>
        </w:rPr>
      </w:pPr>
    </w:p>
    <w:p>
      <w:pPr>
        <w:ind w:left="1340" w:right="1519" w:firstLine="486"/>
        <w:spacing w:after="0" w:line="255" w:lineRule="auto"/>
        <w:rPr>
          <w:sz w:val="20"/>
          <w:szCs w:val="20"/>
          <w:color w:val="auto"/>
        </w:rPr>
      </w:pPr>
      <w:r>
        <w:rPr>
          <w:rFonts w:ascii="Times New Roman" w:cs="Times New Roman" w:eastAsia="Times New Roman" w:hAnsi="Times New Roman"/>
          <w:sz w:val="16"/>
          <w:szCs w:val="16"/>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1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ARTICLE 1</w:t>
      </w:r>
    </w:p>
    <w:p>
      <w:pPr>
        <w:spacing w:after="0" w:line="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DEFINITIONS</w:t>
      </w:r>
    </w:p>
    <w:p>
      <w:pPr>
        <w:spacing w:after="0" w:line="140"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Certain Terms Defined.</w:t>
      </w:r>
      <w:r>
        <w:rPr>
          <w:rFonts w:ascii="Times New Roman" w:cs="Times New Roman" w:eastAsia="Times New Roman" w:hAnsi="Times New Roman"/>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 w:cs="Times New Roman" w:eastAsia="Times New Roman" w:hAnsi="Times New Roman"/>
          <w:sz w:val="16"/>
          <w:szCs w:val="16"/>
          <w:b w:val="1"/>
          <w:bCs w:val="1"/>
          <w:color w:val="auto"/>
        </w:rPr>
        <w:t>generally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accepted accounting principles</w:t>
      </w:r>
      <w:r>
        <w:rPr>
          <w:rFonts w:ascii="Times New Roman" w:cs="Times New Roman" w:eastAsia="Times New Roman" w:hAnsi="Times New Roman"/>
          <w:sz w:val="16"/>
          <w:szCs w:val="16"/>
          <w:color w:val="auto"/>
        </w:rPr>
        <w:t>” means such accounting principles as are generally accepted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36"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“Additional Amounts” </w:t>
      </w:r>
      <w:r>
        <w:rPr>
          <w:rFonts w:ascii="Times New Roman" w:cs="Times New Roman" w:eastAsia="Times New Roman" w:hAnsi="Times New Roman"/>
          <w:sz w:val="16"/>
          <w:szCs w:val="16"/>
          <w:color w:val="auto"/>
        </w:rPr>
        <w:t>means any additional amounts that are required by this Indenture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by any Security, under circumstances specified herein or therein, to be paid by the Issuer in respect of certain taxes, assessments or other governmental charges imposed on Holders specified therein and which are owing to such Holders.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4" w:name="page125"/>
    <w:bookmarkEnd w:id="124"/>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Procedures</w:t>
      </w:r>
      <w:r>
        <w:rPr>
          <w:rFonts w:ascii="Times New Roman" w:cs="Times New Roman" w:eastAsia="Times New Roman" w:hAnsi="Times New Roman"/>
          <w:sz w:val="16"/>
          <w:szCs w:val="16"/>
          <w:color w:val="auto"/>
        </w:rPr>
        <w:t>” means, with respect to a Depositary, as to any matter at any time, the policies and procedures of such Depositary, if any, that are applicable to such matter at such time.</w:t>
      </w:r>
    </w:p>
    <w:p>
      <w:pPr>
        <w:spacing w:after="0" w:line="120"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either the Board of Directors of the Issuer or any committee of such Board duly authorized to act on its behalf.</w:t>
      </w:r>
    </w:p>
    <w:p>
      <w:pPr>
        <w:spacing w:after="0" w:line="107" w:lineRule="exact"/>
        <w:rPr>
          <w:sz w:val="20"/>
          <w:szCs w:val="20"/>
          <w:color w:val="auto"/>
        </w:rPr>
      </w:pPr>
    </w:p>
    <w:p>
      <w:pPr>
        <w:jc w:val="both"/>
        <w:ind w:left="1340" w:right="14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left="1340" w:right="1539" w:firstLine="4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25"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“Capital Stock” </w:t>
      </w:r>
      <w:r>
        <w:rPr>
          <w:rFonts w:ascii="Times New Roman" w:cs="Times New Roman" w:eastAsia="Times New Roman" w:hAnsi="Times New Roman"/>
          <w:sz w:val="16"/>
          <w:szCs w:val="16"/>
          <w:color w:val="auto"/>
        </w:rPr>
        <w:t>means (a) in the case of a corporation, corporate stock; (b) in the case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w:t>
      </w:r>
    </w:p>
    <w:p>
      <w:pPr>
        <w:spacing w:after="0" w:line="1" w:lineRule="exact"/>
        <w:rPr>
          <w:sz w:val="20"/>
          <w:szCs w:val="20"/>
          <w:color w:val="auto"/>
        </w:rPr>
      </w:pPr>
    </w:p>
    <w:p>
      <w:pPr>
        <w:ind w:left="1340" w:right="1519" w:firstLine="3"/>
        <w:spacing w:after="0" w:line="241" w:lineRule="auto"/>
        <w:tabs>
          <w:tab w:leader="none" w:pos="156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left="1340" w:right="149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27" w:lineRule="exact"/>
        <w:rPr>
          <w:sz w:val="20"/>
          <w:szCs w:val="20"/>
          <w:color w:val="auto"/>
        </w:rPr>
      </w:pPr>
    </w:p>
    <w:p>
      <w:pPr>
        <w:jc w:val="both"/>
        <w:ind w:left="1340" w:right="149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shares of common stock, par value $0.0001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20"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w:t>
      </w:r>
      <w:r>
        <w:rPr>
          <w:rFonts w:ascii="Times New Roman" w:cs="Times New Roman" w:eastAsia="Times New Roman" w:hAnsi="Times New Roman"/>
          <w:sz w:val="16"/>
          <w:szCs w:val="16"/>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25" w:name="page126"/>
    <w:bookmarkEnd w:id="125"/>
    <w:p>
      <w:pPr>
        <w:ind w:left="1340" w:right="1639"/>
        <w:spacing w:after="0" w:line="272" w:lineRule="auto"/>
        <w:rPr>
          <w:sz w:val="20"/>
          <w:szCs w:val="20"/>
          <w:color w:val="auto"/>
        </w:rPr>
      </w:pPr>
      <w:r>
        <w:rPr>
          <w:rFonts w:ascii="Times New Roman" w:cs="Times New Roman" w:eastAsia="Times New Roman" w:hAnsi="Times New Roman"/>
          <w:sz w:val="16"/>
          <w:szCs w:val="16"/>
          <w:color w:val="auto"/>
        </w:rPr>
        <w:t>excluded the money, securities or evidences of Debt deposited by such Person in trust for the purpose of paying or satisfying such Debt.</w:t>
      </w:r>
    </w:p>
    <w:p>
      <w:pPr>
        <w:spacing w:after="0" w:line="108"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shall mean or include each Person who is then a Depositary hereunder, and if at any time there is more than one such Person,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as used with respect to the Securities of any such series shall mean the Depositary with respect to the Global Securities of that series.</w:t>
      </w:r>
    </w:p>
    <w:p>
      <w:pPr>
        <w:spacing w:after="0" w:line="129"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Dollar</w:t>
      </w:r>
      <w:r>
        <w:rPr>
          <w:rFonts w:ascii="Times New Roman" w:cs="Times New Roman" w:eastAsia="Times New Roman" w:hAnsi="Times New Roman"/>
          <w:sz w:val="16"/>
          <w:szCs w:val="16"/>
          <w:color w:val="auto"/>
        </w:rPr>
        <w:t>” means the currency of the United States of America as at the time of payment is legal tender for the payment of public and private debts.</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means any event or condition specified as such in Section 5.01.</w:t>
      </w:r>
    </w:p>
    <w:p>
      <w:pPr>
        <w:spacing w:after="0" w:line="160"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Currency</w:t>
      </w:r>
      <w:r>
        <w:rPr>
          <w:rFonts w:ascii="Times New Roman" w:cs="Times New Roman" w:eastAsia="Times New Roman" w:hAnsi="Times New Roman"/>
          <w:sz w:val="16"/>
          <w:szCs w:val="16"/>
          <w:color w:val="auto"/>
        </w:rPr>
        <w:t>” means a currency issued by the government of a country other than the United States.</w:t>
      </w:r>
    </w:p>
    <w:p>
      <w:pPr>
        <w:spacing w:after="0" w:line="107"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b w:val="1"/>
          <w:bCs w:val="1"/>
          <w:color w:val="auto"/>
        </w:rPr>
        <w:t xml:space="preserve">“Foreign Government Obligation” </w:t>
      </w:r>
      <w:r>
        <w:rPr>
          <w:rFonts w:ascii="Times New Roman" w:cs="Times New Roman" w:eastAsia="Times New Roman" w:hAnsi="Times New Roman"/>
          <w:sz w:val="16"/>
          <w:szCs w:val="16"/>
          <w:color w:val="auto"/>
        </w:rPr>
        <w:t>means (a) a direct obligation of the government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41"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Security</w:t>
      </w:r>
      <w:r>
        <w:rPr>
          <w:rFonts w:ascii="Times New Roman" w:cs="Times New Roman" w:eastAsia="Times New Roman" w:hAnsi="Times New Roman"/>
          <w:sz w:val="16"/>
          <w:szCs w:val="16"/>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jc w:val="both"/>
        <w:ind w:left="1340" w:right="15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 “holder”,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holder of Securities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Securityholder</w:t>
      </w:r>
      <w:r>
        <w:rPr>
          <w:rFonts w:ascii="Times New Roman" w:cs="Times New Roman" w:eastAsia="Times New Roman" w:hAnsi="Times New Roman"/>
          <w:sz w:val="16"/>
          <w:szCs w:val="16"/>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jc w:val="both"/>
        <w:ind w:left="1340" w:right="15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20" w:lineRule="exact"/>
        <w:rPr>
          <w:sz w:val="20"/>
          <w:szCs w:val="20"/>
          <w:color w:val="auto"/>
        </w:rPr>
      </w:pPr>
    </w:p>
    <w:p>
      <w:pPr>
        <w:jc w:val="both"/>
        <w:ind w:left="1340" w:right="15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unless the context otherwise requires, refers to interest, and when used with respect to non-interest bearing Securities, refers to interest payable after maturity, if 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6" w:name="page127"/>
    <w:bookmarkEnd w:id="126"/>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with respect to any Security, means the Stated Maturity of an installment of interest on such Security.</w:t>
      </w:r>
    </w:p>
    <w:p>
      <w:pPr>
        <w:spacing w:after="0" w:line="107"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means Xilio Therapeutics, Inc., a Delaware corporation, and, subject to Article 9, its successors and assigns.</w:t>
      </w:r>
    </w:p>
    <w:p>
      <w:pPr>
        <w:spacing w:after="0" w:line="107"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 Order</w:t>
      </w:r>
      <w:r>
        <w:rPr>
          <w:rFonts w:ascii="Times New Roman" w:cs="Times New Roman" w:eastAsia="Times New Roman" w:hAnsi="Times New Roman"/>
          <w:sz w:val="16"/>
          <w:szCs w:val="16"/>
          <w:color w:val="auto"/>
        </w:rPr>
        <w:t>” means a written statement, request or order of the Issuer signed in its name by the chairman of the Board of Directors, the president or any vice president of the Issuer.</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“Notice of Default” </w:t>
      </w:r>
      <w:r>
        <w:rPr>
          <w:rFonts w:ascii="Times New Roman" w:cs="Times New Roman" w:eastAsia="Times New Roman" w:hAnsi="Times New Roman"/>
          <w:sz w:val="16"/>
          <w:szCs w:val="16"/>
          <w:color w:val="auto"/>
        </w:rPr>
        <w:t>shall have the meaning set forth in Section 5.01(c).</w:t>
      </w:r>
    </w:p>
    <w:p>
      <w:pPr>
        <w:spacing w:after="0" w:line="160"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Officer’s Certificate</w:t>
      </w:r>
      <w:r>
        <w:rPr>
          <w:rFonts w:ascii="Times New Roman" w:cs="Times New Roman" w:eastAsia="Times New Roman" w:hAnsi="Times New Roman"/>
          <w:sz w:val="16"/>
          <w:szCs w:val="16"/>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27"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27"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date</w:t>
      </w:r>
      <w:r>
        <w:rPr>
          <w:rFonts w:ascii="Times New Roman" w:cs="Times New Roman" w:eastAsia="Times New Roman" w:hAnsi="Times New Roman"/>
          <w:sz w:val="16"/>
          <w:szCs w:val="16"/>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jc w:val="both"/>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Discount Security</w:t>
      </w:r>
      <w:r>
        <w:rPr>
          <w:rFonts w:ascii="Times New Roman" w:cs="Times New Roman" w:eastAsia="Times New Roman" w:hAnsi="Times New Roman"/>
          <w:sz w:val="16"/>
          <w:szCs w:val="16"/>
          <w:color w:val="auto"/>
        </w:rPr>
        <w:t>” means any Security that provides for an amount less than the principal amount thereof to be due and payable upon a declaration of acceleration of the maturity thereof pursuant to Section 5.01.</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when used with reference to Securities, shall, subject to the provisions of Section 7.04, mean, as of any particular time, all Securities authenticated and delivered by the Trustee under this Indenture, except</w:t>
      </w:r>
    </w:p>
    <w:p>
      <w:pPr>
        <w:spacing w:after="0" w:line="122" w:lineRule="exact"/>
        <w:rPr>
          <w:sz w:val="20"/>
          <w:szCs w:val="20"/>
          <w:color w:val="auto"/>
        </w:rPr>
      </w:pPr>
    </w:p>
    <w:p>
      <w:pPr>
        <w:ind w:left="2320"/>
        <w:spacing w:after="0"/>
        <w:tabs>
          <w:tab w:leader="none" w:pos="2620" w:val="left"/>
        </w:tabs>
        <w:rPr>
          <w:sz w:val="20"/>
          <w:szCs w:val="20"/>
          <w:color w:val="auto"/>
        </w:rPr>
      </w:pPr>
      <w:r>
        <w:rPr>
          <w:rFonts w:ascii="Times New Roman" w:cs="Times New Roman" w:eastAsia="Times New Roman" w:hAnsi="Times New Roman"/>
          <w:sz w:val="16"/>
          <w:szCs w:val="16"/>
          <w:color w:val="auto"/>
        </w:rPr>
        <w:t>(a)</w:t>
        <w:tab/>
        <w:t>Securities theretofore cancelled by the Trustee or delivered to the Trustee for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cancellation;</w:t>
      </w:r>
    </w:p>
    <w:p>
      <w:pPr>
        <w:spacing w:after="0" w:line="142" w:lineRule="exact"/>
        <w:rPr>
          <w:sz w:val="20"/>
          <w:szCs w:val="20"/>
          <w:color w:val="auto"/>
        </w:rPr>
      </w:pPr>
    </w:p>
    <w:p>
      <w:pPr>
        <w:ind w:left="1340" w:right="1399" w:firstLine="976"/>
        <w:spacing w:after="0" w:line="249" w:lineRule="auto"/>
        <w:tabs>
          <w:tab w:leader="none" w:pos="263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or portions thereof, for the payment or redemption of which cash, U.S. Government Obligations or Foreign Government Obligations (as provided for in Section</w:t>
      </w:r>
    </w:p>
    <w:p>
      <w:pPr>
        <w:ind w:left="1340" w:right="135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27" w:name="page128"/>
    <w:bookmarkEnd w:id="127"/>
    <w:p>
      <w:pPr>
        <w:ind w:left="2640" w:hanging="324"/>
        <w:spacing w:after="0"/>
        <w:tabs>
          <w:tab w:leader="none" w:pos="26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Legal Defeasance shall have been effected pursuant to</w:t>
      </w:r>
    </w:p>
    <w:p>
      <w:pPr>
        <w:spacing w:after="0" w:line="16"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10.01(b);</w:t>
      </w:r>
    </w:p>
    <w:p>
      <w:pPr>
        <w:spacing w:after="0" w:line="142" w:lineRule="exact"/>
        <w:rPr>
          <w:rFonts w:ascii="Times New Roman" w:cs="Times New Roman" w:eastAsia="Times New Roman" w:hAnsi="Times New Roman"/>
          <w:sz w:val="16"/>
          <w:szCs w:val="16"/>
          <w:color w:val="auto"/>
        </w:rPr>
      </w:pPr>
    </w:p>
    <w:p>
      <w:pPr>
        <w:ind w:left="1340" w:right="1419" w:firstLine="976"/>
        <w:spacing w:after="0" w:line="244" w:lineRule="auto"/>
        <w:tabs>
          <w:tab w:leader="none" w:pos="263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33" w:lineRule="exact"/>
        <w:rPr>
          <w:rFonts w:ascii="Times New Roman" w:cs="Times New Roman" w:eastAsia="Times New Roman" w:hAnsi="Times New Roman"/>
          <w:sz w:val="16"/>
          <w:szCs w:val="16"/>
          <w:color w:val="auto"/>
        </w:rPr>
      </w:pPr>
    </w:p>
    <w:p>
      <w:pPr>
        <w:ind w:left="1340" w:right="1459" w:firstLine="976"/>
        <w:spacing w:after="0" w:line="249" w:lineRule="auto"/>
        <w:tabs>
          <w:tab w:leader="none" w:pos="263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37" w:lineRule="exact"/>
        <w:rPr>
          <w:sz w:val="20"/>
          <w:szCs w:val="20"/>
          <w:color w:val="auto"/>
        </w:rPr>
      </w:pPr>
    </w:p>
    <w:p>
      <w:pPr>
        <w:ind w:left="1340" w:right="16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w:t>
      </w:r>
      <w:r>
        <w:rPr>
          <w:rFonts w:ascii="Times New Roman" w:cs="Times New Roman" w:eastAsia="Times New Roman" w:hAnsi="Times New Roman"/>
          <w:sz w:val="16"/>
          <w:szCs w:val="16"/>
          <w:color w:val="auto"/>
        </w:rPr>
        <w:t>” whenever used with reference to the Securities or any Security or any portion thereof, shall be deemed to include “and premium, if any”.</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“record date” </w:t>
      </w:r>
      <w:r>
        <w:rPr>
          <w:rFonts w:ascii="Times New Roman" w:cs="Times New Roman" w:eastAsia="Times New Roman" w:hAnsi="Times New Roman"/>
          <w:sz w:val="16"/>
          <w:szCs w:val="16"/>
          <w:color w:val="auto"/>
        </w:rPr>
        <w:t>shall have the meaning set forth in Section 2.07.</w:t>
      </w:r>
    </w:p>
    <w:p>
      <w:pPr>
        <w:spacing w:after="0" w:line="160"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8" w:name="page129"/>
    <w:bookmarkEnd w:id="128"/>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be such officers, respectively, or to whom any corporate trust matter is referred because of his or her knowledge of and familiarity with the particular subject.</w:t>
      </w:r>
    </w:p>
    <w:p>
      <w:pPr>
        <w:spacing w:after="0" w:line="108"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has the meaning stated in the first recital of this Indenture, or, as the case may be, Securities that have been authenticated and delivered under this Indenture.</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shall have the meaning set forth in Section 4.01(b).</w:t>
      </w:r>
    </w:p>
    <w:p>
      <w:pPr>
        <w:spacing w:after="0" w:line="160"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Senior Indebtedness</w:t>
      </w:r>
      <w:r>
        <w:rPr>
          <w:rFonts w:ascii="Times New Roman" w:cs="Times New Roman" w:eastAsia="Times New Roman" w:hAnsi="Times New Roman"/>
          <w:sz w:val="16"/>
          <w:szCs w:val="16"/>
          <w:color w:val="auto"/>
        </w:rPr>
        <w:t>” of a Person means the principal of, premium, if any, interest on, and any other payment due pursuant to any of the following, whether outstanding at the date hereof or hereafter incurred or created:</w:t>
      </w:r>
    </w:p>
    <w:p>
      <w:pPr>
        <w:spacing w:after="0" w:line="122" w:lineRule="exact"/>
        <w:rPr>
          <w:sz w:val="20"/>
          <w:szCs w:val="20"/>
          <w:color w:val="auto"/>
        </w:rPr>
      </w:pPr>
    </w:p>
    <w:p>
      <w:pPr>
        <w:ind w:left="2640" w:hanging="324"/>
        <w:spacing w:after="0"/>
        <w:tabs>
          <w:tab w:leader="none" w:pos="26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indebtedness of that Person for money borrowed;</w:t>
      </w:r>
    </w:p>
    <w:p>
      <w:pPr>
        <w:spacing w:after="0" w:line="160"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indebtedness of that Person evidenced by notes, debentures, bonds or other securities sold by that Person for money;</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lease obligations which are capitalized on the books of that Person in accordance with generally accepted accounting principles;</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46"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spacing w:after="0" w:line="130" w:lineRule="exact"/>
        <w:rPr>
          <w:rFonts w:ascii="Times New Roman" w:cs="Times New Roman" w:eastAsia="Times New Roman" w:hAnsi="Times New Roman"/>
          <w:sz w:val="16"/>
          <w:szCs w:val="16"/>
          <w:color w:val="auto"/>
        </w:rPr>
      </w:pPr>
    </w:p>
    <w:p>
      <w:pPr>
        <w:ind w:left="1340" w:right="1399" w:firstLine="976"/>
        <w:spacing w:after="0" w:line="255"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renewals, extensions or refundings of indebtedness of the kinds described in any of the preceding clauses (a), (b) and (d) and all renewals or extensions of leases of the kinds described in either of the preceding clauses (c) or (d) above;</w:t>
      </w:r>
    </w:p>
    <w:p>
      <w:pPr>
        <w:spacing w:after="0" w:line="121" w:lineRule="exact"/>
        <w:rPr>
          <w:sz w:val="20"/>
          <w:szCs w:val="20"/>
          <w:color w:val="auto"/>
        </w:rPr>
      </w:pPr>
    </w:p>
    <w:p>
      <w:pPr>
        <w:ind w:left="1340" w:right="1459"/>
        <w:spacing w:after="0" w:line="250" w:lineRule="auto"/>
        <w:rPr>
          <w:sz w:val="20"/>
          <w:szCs w:val="20"/>
          <w:color w:val="auto"/>
        </w:rPr>
      </w:pP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color w:val="auto"/>
        </w:rPr>
        <w:t>, in the case of any particular indebtedness, lease, renewal, extension or refunding,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instrument or lease creating or evidencing it or the assumption or guarantee relating to it expressly provides that such indebtedness, lease, renewal, extension or refunding is not superior in right of payment to the Securities.</w:t>
      </w:r>
    </w:p>
    <w:p>
      <w:pPr>
        <w:spacing w:after="0" w:line="125"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Maturity</w:t>
      </w:r>
      <w:r>
        <w:rPr>
          <w:rFonts w:ascii="Times New Roman" w:cs="Times New Roman" w:eastAsia="Times New Roman" w:hAnsi="Times New Roman"/>
          <w:sz w:val="16"/>
          <w:szCs w:val="16"/>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27"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9" w:name="page130"/>
    <w:bookmarkEnd w:id="129"/>
    <w:p>
      <w:pPr>
        <w:ind w:left="1340" w:right="1539"/>
        <w:spacing w:after="0" w:line="272" w:lineRule="auto"/>
        <w:rPr>
          <w:sz w:val="20"/>
          <w:szCs w:val="20"/>
          <w:color w:val="auto"/>
        </w:rPr>
      </w:pPr>
      <w:r>
        <w:rPr>
          <w:rFonts w:ascii="Times New Roman" w:cs="Times New Roman" w:eastAsia="Times New Roman" w:hAnsi="Times New Roman"/>
          <w:sz w:val="16"/>
          <w:szCs w:val="16"/>
          <w:color w:val="auto"/>
        </w:rPr>
        <w:t>time directly or indirectly owned by the Issuer, or by one or more Subsidiaries of the Issuer, or by the Issuer and one or more other Subsidiaries of the Issuer.</w:t>
      </w:r>
    </w:p>
    <w:p>
      <w:pPr>
        <w:spacing w:after="0" w:line="108"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 of 1939</w:t>
      </w:r>
      <w:r>
        <w:rPr>
          <w:rFonts w:ascii="Times New Roman" w:cs="Times New Roman" w:eastAsia="Times New Roman" w:hAnsi="Times New Roman"/>
          <w:sz w:val="16"/>
          <w:szCs w:val="16"/>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ind w:left="1340" w:right="137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identified as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hereof and, subject to the provisions of Article 6, shall also include any successor trustee.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also mean or include each Person who is then a trustee hereunder and if at any time there is more than one such Person,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used with respect to the Securities of any series shall mean the trustee with respect to the Securities of such series.</w:t>
      </w:r>
    </w:p>
    <w:p>
      <w:pPr>
        <w:spacing w:after="0" w:line="127" w:lineRule="exact"/>
        <w:rPr>
          <w:sz w:val="20"/>
          <w:szCs w:val="20"/>
          <w:color w:val="auto"/>
        </w:rPr>
      </w:pPr>
    </w:p>
    <w:p>
      <w:pPr>
        <w:ind w:left="1340" w:right="161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 Government Obligation</w:t>
      </w:r>
      <w:r>
        <w:rPr>
          <w:rFonts w:ascii="Times New Roman" w:cs="Times New Roman" w:eastAsia="Times New Roman" w:hAnsi="Times New Roman"/>
          <w:sz w:val="16"/>
          <w:szCs w:val="16"/>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27" w:lineRule="exact"/>
        <w:rPr>
          <w:sz w:val="20"/>
          <w:szCs w:val="20"/>
          <w:color w:val="auto"/>
        </w:rPr>
      </w:pPr>
    </w:p>
    <w:p>
      <w:pPr>
        <w:jc w:val="both"/>
        <w:ind w:left="1340" w:right="15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vice president</w:t>
      </w:r>
      <w:r>
        <w:rPr>
          <w:rFonts w:ascii="Times New Roman" w:cs="Times New Roman" w:eastAsia="Times New Roman" w:hAnsi="Times New Roman"/>
          <w:sz w:val="16"/>
          <w:szCs w:val="16"/>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Yield to Maturity</w:t>
      </w:r>
      <w:r>
        <w:rPr>
          <w:rFonts w:ascii="Times New Roman" w:cs="Times New Roman" w:eastAsia="Times New Roman" w:hAnsi="Times New Roman"/>
          <w:sz w:val="16"/>
          <w:szCs w:val="16"/>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ARTICLE 2</w:t>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w:t>
      </w:r>
    </w:p>
    <w:p>
      <w:pPr>
        <w:spacing w:after="0" w:line="140" w:lineRule="exact"/>
        <w:rPr>
          <w:sz w:val="20"/>
          <w:szCs w:val="20"/>
          <w:color w:val="auto"/>
        </w:rPr>
      </w:pPr>
    </w:p>
    <w:p>
      <w:pPr>
        <w:ind w:left="1340" w:right="141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Forms Generally.</w:t>
      </w:r>
      <w:r>
        <w:rPr>
          <w:rFonts w:ascii="Times New Roman" w:cs="Times New Roman" w:eastAsia="Times New Roman" w:hAnsi="Times New Roman"/>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38" w:lineRule="exact"/>
        <w:rPr>
          <w:sz w:val="20"/>
          <w:szCs w:val="20"/>
          <w:color w:val="auto"/>
        </w:rPr>
      </w:pPr>
    </w:p>
    <w:p>
      <w:pPr>
        <w:jc w:val="both"/>
        <w:ind w:left="1340" w:right="1679" w:firstLine="486"/>
        <w:spacing w:after="0" w:line="255" w:lineRule="auto"/>
        <w:rPr>
          <w:sz w:val="20"/>
          <w:szCs w:val="20"/>
          <w:color w:val="auto"/>
        </w:rPr>
      </w:pPr>
      <w:r>
        <w:rPr>
          <w:rFonts w:ascii="Times New Roman" w:cs="Times New Roman" w:eastAsia="Times New Roman" w:hAnsi="Times New Roman"/>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21"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Trustee’s Certificate of Authentication.</w:t>
      </w:r>
      <w:r>
        <w:rPr>
          <w:rFonts w:ascii="Times New Roman" w:cs="Times New Roman" w:eastAsia="Times New Roman" w:hAnsi="Times New Roman"/>
          <w:sz w:val="16"/>
          <w:szCs w:val="16"/>
          <w:color w:val="auto"/>
        </w:rPr>
        <w:t xml:space="preserve"> The Trustee’s certificate of authentication on all Securities shall be in substantially the following form: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0" w:name="page131"/>
    <w:bookmarkEnd w:id="130"/>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179070</wp:posOffset>
            </wp:positionV>
            <wp:extent cx="20574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spacing w:after="0" w:line="2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Trustee</w:t>
      </w:r>
    </w:p>
    <w:p>
      <w:pPr>
        <w:spacing w:after="0" w:line="3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-6350</wp:posOffset>
            </wp:positionV>
            <wp:extent cx="2057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40"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Amount Unlimited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Issuable in Series.</w:t>
      </w:r>
      <w:r>
        <w:rPr>
          <w:rFonts w:ascii="Times New Roman" w:cs="Times New Roman" w:eastAsia="Times New Roman" w:hAnsi="Times New Roman"/>
          <w:sz w:val="16"/>
          <w:szCs w:val="16"/>
          <w:color w:val="auto"/>
        </w:rPr>
        <w:t xml:space="preserve"> The aggregate principal amount of Securities which may be authenticated and delivered under this Indenture is unlimited.</w:t>
      </w:r>
    </w:p>
    <w:p>
      <w:pPr>
        <w:spacing w:after="0" w:line="109"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35" w:lineRule="exact"/>
        <w:rPr>
          <w:sz w:val="20"/>
          <w:szCs w:val="20"/>
          <w:color w:val="auto"/>
        </w:rPr>
      </w:pPr>
    </w:p>
    <w:p>
      <w:pPr>
        <w:ind w:left="1340" w:right="1479" w:firstLine="976"/>
        <w:spacing w:after="0" w:line="272"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Securities of the series (which may be part of a series of Securities previously issued);</w:t>
      </w:r>
    </w:p>
    <w:p>
      <w:pPr>
        <w:spacing w:after="0" w:line="109" w:lineRule="exact"/>
        <w:rPr>
          <w:rFonts w:ascii="Times New Roman" w:cs="Times New Roman" w:eastAsia="Times New Roman" w:hAnsi="Times New Roman"/>
          <w:sz w:val="16"/>
          <w:szCs w:val="16"/>
          <w:color w:val="auto"/>
        </w:rPr>
      </w:pPr>
    </w:p>
    <w:p>
      <w:pPr>
        <w:jc w:val="both"/>
        <w:ind w:left="1340" w:right="1399" w:firstLine="976"/>
        <w:spacing w:after="0" w:line="249"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27" w:lineRule="exact"/>
        <w:rPr>
          <w:rFonts w:ascii="Times New Roman" w:cs="Times New Roman" w:eastAsia="Times New Roman" w:hAnsi="Times New Roman"/>
          <w:sz w:val="16"/>
          <w:szCs w:val="16"/>
          <w:color w:val="auto"/>
        </w:rPr>
      </w:pPr>
    </w:p>
    <w:p>
      <w:pPr>
        <w:ind w:left="1340" w:right="1459" w:firstLine="976"/>
        <w:spacing w:after="0" w:line="255"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or dates on which the principal of the Securities of the series is payable or the method used to determine those dates and the right, if any, to extend such date or dates;</w:t>
      </w:r>
    </w:p>
    <w:p>
      <w:pPr>
        <w:spacing w:after="0" w:line="122" w:lineRule="exact"/>
        <w:rPr>
          <w:rFonts w:ascii="Times New Roman" w:cs="Times New Roman" w:eastAsia="Times New Roman" w:hAnsi="Times New Roman"/>
          <w:sz w:val="16"/>
          <w:szCs w:val="16"/>
          <w:color w:val="auto"/>
        </w:rPr>
      </w:pPr>
    </w:p>
    <w:p>
      <w:pPr>
        <w:ind w:left="1340" w:right="1399" w:firstLine="976"/>
        <w:spacing w:after="0" w:line="243"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34" w:lineRule="exact"/>
        <w:rPr>
          <w:rFonts w:ascii="Times New Roman" w:cs="Times New Roman" w:eastAsia="Times New Roman" w:hAnsi="Times New Roman"/>
          <w:sz w:val="16"/>
          <w:szCs w:val="16"/>
          <w:color w:val="auto"/>
        </w:rPr>
      </w:pPr>
    </w:p>
    <w:p>
      <w:pPr>
        <w:ind w:left="1340" w:right="1579" w:firstLine="976"/>
        <w:spacing w:after="0" w:line="272"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where the principal of and any interest on Securities of the series shall be payable (if other than as provided in Section 3.02);</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55"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1" w:name="page132"/>
    <w:bookmarkEnd w:id="131"/>
    <w:p>
      <w:pPr>
        <w:ind w:left="1340" w:right="1519"/>
        <w:spacing w:after="0" w:line="272" w:lineRule="auto"/>
        <w:rPr>
          <w:sz w:val="20"/>
          <w:szCs w:val="20"/>
          <w:color w:val="auto"/>
        </w:rPr>
      </w:pPr>
      <w:r>
        <w:rPr>
          <w:rFonts w:ascii="Times New Roman" w:cs="Times New Roman" w:eastAsia="Times New Roman" w:hAnsi="Times New Roman"/>
          <w:sz w:val="16"/>
          <w:szCs w:val="16"/>
          <w:color w:val="auto"/>
        </w:rPr>
        <w:t>periods within which and any terms and conditions upon which Securities of the series shall be redeemed, purchased or repaid, in whole or in part, pursuant to such obligation or right;</w:t>
      </w:r>
    </w:p>
    <w:p>
      <w:pPr>
        <w:spacing w:after="0" w:line="110" w:lineRule="exact"/>
        <w:rPr>
          <w:sz w:val="20"/>
          <w:szCs w:val="20"/>
          <w:color w:val="auto"/>
        </w:rPr>
      </w:pPr>
    </w:p>
    <w:p>
      <w:pPr>
        <w:ind w:left="1340" w:right="1439" w:firstLine="976"/>
        <w:spacing w:after="0" w:line="272"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denominations of $2,000 and any integral multiple of $1,000 in excess thereof, the denominations in which Securities of the series shall be issuable;</w:t>
      </w:r>
    </w:p>
    <w:p>
      <w:pPr>
        <w:spacing w:after="0" w:line="109" w:lineRule="exact"/>
        <w:rPr>
          <w:rFonts w:ascii="Times New Roman" w:cs="Times New Roman" w:eastAsia="Times New Roman" w:hAnsi="Times New Roman"/>
          <w:sz w:val="16"/>
          <w:szCs w:val="16"/>
          <w:color w:val="auto"/>
        </w:rPr>
      </w:pPr>
    </w:p>
    <w:p>
      <w:pPr>
        <w:jc w:val="both"/>
        <w:ind w:left="1340" w:right="1359" w:firstLine="976"/>
        <w:spacing w:after="0" w:line="255"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principal amount thereof, the portion of the principal amount of Securities of the series which shall be payable upon declaration of acceleration of the maturity thereof;</w:t>
      </w:r>
    </w:p>
    <w:p>
      <w:pPr>
        <w:spacing w:after="0" w:line="122"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Dollars, the currency, currencies or currency units in which the Securities of the series are denominated;</w:t>
      </w:r>
    </w:p>
    <w:p>
      <w:pPr>
        <w:spacing w:after="0" w:line="109" w:lineRule="exact"/>
        <w:rPr>
          <w:rFonts w:ascii="Times New Roman" w:cs="Times New Roman" w:eastAsia="Times New Roman" w:hAnsi="Times New Roman"/>
          <w:sz w:val="16"/>
          <w:szCs w:val="16"/>
          <w:color w:val="auto"/>
        </w:rPr>
      </w:pPr>
    </w:p>
    <w:p>
      <w:pPr>
        <w:ind w:left="1340" w:right="1559" w:firstLine="976"/>
        <w:spacing w:after="0" w:line="255"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currency in which the Securities of the series are denominated, the currency in which payment of the principal of or interest on the Securities of such series shall be payable;</w:t>
      </w:r>
    </w:p>
    <w:p>
      <w:pPr>
        <w:spacing w:after="0" w:line="122" w:lineRule="exact"/>
        <w:rPr>
          <w:rFonts w:ascii="Times New Roman" w:cs="Times New Roman" w:eastAsia="Times New Roman" w:hAnsi="Times New Roman"/>
          <w:sz w:val="16"/>
          <w:szCs w:val="16"/>
          <w:color w:val="auto"/>
        </w:rPr>
      </w:pPr>
    </w:p>
    <w:p>
      <w:pPr>
        <w:jc w:val="both"/>
        <w:ind w:left="1340" w:right="1359" w:firstLine="976"/>
        <w:spacing w:after="0" w:line="249"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6"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130" w:lineRule="exact"/>
        <w:rPr>
          <w:rFonts w:ascii="Times New Roman" w:cs="Times New Roman" w:eastAsia="Times New Roman" w:hAnsi="Times New Roman"/>
          <w:sz w:val="16"/>
          <w:szCs w:val="16"/>
          <w:color w:val="auto"/>
        </w:rPr>
      </w:pPr>
    </w:p>
    <w:p>
      <w:pPr>
        <w:ind w:left="1340" w:right="1419" w:firstLine="976"/>
        <w:spacing w:after="0" w:line="249"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27" w:lineRule="exact"/>
        <w:rPr>
          <w:rFonts w:ascii="Times New Roman" w:cs="Times New Roman" w:eastAsia="Times New Roman" w:hAnsi="Times New Roman"/>
          <w:sz w:val="16"/>
          <w:szCs w:val="16"/>
          <w:color w:val="auto"/>
        </w:rPr>
      </w:pPr>
    </w:p>
    <w:p>
      <w:pPr>
        <w:ind w:left="1340" w:right="1539" w:firstLine="976"/>
        <w:spacing w:after="0" w:line="246"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30"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Sections 10.01(b) or 10.01(c) are inapplicable to Securities of such series;</w:t>
      </w:r>
    </w:p>
    <w:p>
      <w:pPr>
        <w:spacing w:after="0" w:line="160" w:lineRule="exact"/>
        <w:rPr>
          <w:rFonts w:ascii="Times New Roman" w:cs="Times New Roman" w:eastAsia="Times New Roman" w:hAnsi="Times New Roman"/>
          <w:sz w:val="16"/>
          <w:szCs w:val="16"/>
          <w:color w:val="auto"/>
        </w:rPr>
      </w:pPr>
    </w:p>
    <w:p>
      <w:pPr>
        <w:ind w:left="1340" w:right="1699" w:firstLine="976"/>
        <w:spacing w:after="0" w:line="255"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the Issuer will pay Additional Amounts on the Securities and, if so, whether the Issuer will have the option to redeem such Securities rather than pay such additional amounts;</w:t>
      </w:r>
    </w:p>
    <w:p>
      <w:pPr>
        <w:spacing w:after="0" w:line="122" w:lineRule="exact"/>
        <w:rPr>
          <w:rFonts w:ascii="Times New Roman" w:cs="Times New Roman" w:eastAsia="Times New Roman" w:hAnsi="Times New Roman"/>
          <w:sz w:val="16"/>
          <w:szCs w:val="16"/>
          <w:color w:val="auto"/>
        </w:rPr>
      </w:pPr>
    </w:p>
    <w:p>
      <w:pPr>
        <w:ind w:left="1340" w:right="1479" w:firstLine="976"/>
        <w:spacing w:after="0" w:line="272"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such series are to be issuable in definitive form (whether upon original issue or upon exchange of a temporary Security of such series) only upon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2" w:name="page133"/>
    <w:bookmarkEnd w:id="132"/>
    <w:p>
      <w:pPr>
        <w:ind w:left="1340" w:right="1359"/>
        <w:spacing w:after="0" w:line="272" w:lineRule="auto"/>
        <w:rPr>
          <w:sz w:val="20"/>
          <w:szCs w:val="20"/>
          <w:color w:val="auto"/>
        </w:rPr>
      </w:pPr>
      <w:r>
        <w:rPr>
          <w:rFonts w:ascii="Times New Roman" w:cs="Times New Roman" w:eastAsia="Times New Roman" w:hAnsi="Times New Roman"/>
          <w:sz w:val="16"/>
          <w:szCs w:val="16"/>
          <w:color w:val="auto"/>
        </w:rPr>
        <w:t>receipt of certain certificates or other documents or satisfaction of other conditions, then the form and terms of such certificates, documents or conditions;</w:t>
      </w:r>
    </w:p>
    <w:p>
      <w:pPr>
        <w:spacing w:after="0" w:line="110" w:lineRule="exact"/>
        <w:rPr>
          <w:sz w:val="20"/>
          <w:szCs w:val="20"/>
          <w:color w:val="auto"/>
        </w:rPr>
      </w:pPr>
    </w:p>
    <w:p>
      <w:pPr>
        <w:ind w:left="1340" w:right="1479" w:firstLine="976"/>
        <w:spacing w:after="0" w:line="272" w:lineRule="auto"/>
        <w:tabs>
          <w:tab w:leader="none" w:pos="263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trustees, authenticating or paying agents, transfer agents or registrars or any other agents with respect to the Securities of such series;</w:t>
      </w:r>
    </w:p>
    <w:p>
      <w:pPr>
        <w:spacing w:after="0" w:line="109" w:lineRule="exact"/>
        <w:rPr>
          <w:rFonts w:ascii="Times New Roman" w:cs="Times New Roman" w:eastAsia="Times New Roman" w:hAnsi="Times New Roman"/>
          <w:sz w:val="16"/>
          <w:szCs w:val="16"/>
          <w:color w:val="auto"/>
        </w:rPr>
      </w:pPr>
    </w:p>
    <w:p>
      <w:pPr>
        <w:ind w:left="1340" w:right="1359" w:firstLine="976"/>
        <w:spacing w:after="0" w:line="272" w:lineRule="auto"/>
        <w:tabs>
          <w:tab w:leader="none" w:pos="263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events of default or covenants with respect to the Securities of such series in addition to or in lieu of those contained in this Indenture;</w:t>
      </w:r>
    </w:p>
    <w:p>
      <w:pPr>
        <w:spacing w:after="0" w:line="109" w:lineRule="exact"/>
        <w:rPr>
          <w:rFonts w:ascii="Times New Roman" w:cs="Times New Roman" w:eastAsia="Times New Roman" w:hAnsi="Times New Roman"/>
          <w:sz w:val="16"/>
          <w:szCs w:val="16"/>
          <w:color w:val="auto"/>
        </w:rPr>
      </w:pPr>
    </w:p>
    <w:p>
      <w:pPr>
        <w:ind w:left="1340" w:right="1579" w:firstLine="976"/>
        <w:spacing w:after="0" w:line="272" w:lineRule="auto"/>
        <w:tabs>
          <w:tab w:leader="none" w:pos="263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payments on the Securities will be subordinated to the payment of Senior Indebtedness of the Issuer; and</w:t>
      </w:r>
    </w:p>
    <w:p>
      <w:pPr>
        <w:spacing w:after="0" w:line="109"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series.</w:t>
      </w:r>
    </w:p>
    <w:p>
      <w:pPr>
        <w:spacing w:after="0" w:line="160"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33"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Authentication and Delivery of Securities.</w:t>
      </w:r>
      <w:r>
        <w:rPr>
          <w:rFonts w:ascii="Times New Roman" w:cs="Times New Roman" w:eastAsia="Times New Roman" w:hAnsi="Times New Roman"/>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43" w:lineRule="exact"/>
        <w:rPr>
          <w:sz w:val="20"/>
          <w:szCs w:val="20"/>
          <w:color w:val="auto"/>
        </w:rPr>
      </w:pPr>
    </w:p>
    <w:p>
      <w:pPr>
        <w:ind w:left="1340" w:right="1699" w:firstLine="976"/>
        <w:spacing w:after="0" w:line="272" w:lineRule="auto"/>
        <w:tabs>
          <w:tab w:leader="none" w:pos="263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Issuer Order requesting such authentication and setting forth delivery instructions if the Securities are not to be delivered to the Issuer;</w:t>
      </w:r>
    </w:p>
    <w:p>
      <w:pPr>
        <w:spacing w:after="0" w:line="109" w:lineRule="exact"/>
        <w:rPr>
          <w:rFonts w:ascii="Times New Roman" w:cs="Times New Roman" w:eastAsia="Times New Roman" w:hAnsi="Times New Roman"/>
          <w:sz w:val="16"/>
          <w:szCs w:val="16"/>
          <w:color w:val="auto"/>
        </w:rPr>
      </w:pPr>
    </w:p>
    <w:p>
      <w:pPr>
        <w:jc w:val="both"/>
        <w:ind w:left="1340" w:right="1579" w:firstLine="976"/>
        <w:spacing w:after="0" w:line="255" w:lineRule="auto"/>
        <w:tabs>
          <w:tab w:leader="none" w:pos="263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Board Resolution, Officer’s Certificate and/or executed supplemental indenture referred to in Sections 2.01 and 2.03 by or pursuant to which the forms and terms of the Securities were established;</w:t>
      </w:r>
    </w:p>
    <w:p>
      <w:pPr>
        <w:spacing w:after="0" w:line="122" w:lineRule="exact"/>
        <w:rPr>
          <w:rFonts w:ascii="Times New Roman" w:cs="Times New Roman" w:eastAsia="Times New Roman" w:hAnsi="Times New Roman"/>
          <w:sz w:val="16"/>
          <w:szCs w:val="16"/>
          <w:color w:val="auto"/>
        </w:rPr>
      </w:pPr>
    </w:p>
    <w:p>
      <w:pPr>
        <w:ind w:left="1340" w:right="1739" w:firstLine="976"/>
        <w:spacing w:after="0" w:line="249" w:lineRule="auto"/>
        <w:tabs>
          <w:tab w:leader="none" w:pos="263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3" w:name="page134"/>
    <w:bookmarkEnd w:id="133"/>
    <w:p>
      <w:pPr>
        <w:ind w:left="2640" w:hanging="324"/>
        <w:spacing w:after="0"/>
        <w:tabs>
          <w:tab w:leader="none" w:pos="26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to the effect that:</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72" w:lineRule="auto"/>
        <w:tabs>
          <w:tab w:leader="none" w:pos="3123"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or forms and terms of such Securities have been established pursuant to Sections 2.01 and 2.03 and comply with this Indenture,</w:t>
      </w:r>
    </w:p>
    <w:p>
      <w:pPr>
        <w:spacing w:after="0" w:line="109" w:lineRule="exact"/>
        <w:rPr>
          <w:rFonts w:ascii="Times New Roman" w:cs="Times New Roman" w:eastAsia="Times New Roman" w:hAnsi="Times New Roman"/>
          <w:sz w:val="16"/>
          <w:szCs w:val="16"/>
          <w:color w:val="auto"/>
        </w:rPr>
      </w:pPr>
    </w:p>
    <w:p>
      <w:pPr>
        <w:ind w:left="1340" w:right="1499" w:firstLine="1462"/>
        <w:spacing w:after="0" w:line="272" w:lineRule="auto"/>
        <w:tabs>
          <w:tab w:leader="none" w:pos="3123"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authentication and delivery of such Securities by the Trustee are authorized under the provisions of this Indenture, and</w:t>
      </w:r>
    </w:p>
    <w:p>
      <w:pPr>
        <w:spacing w:after="0" w:line="109"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Securities when authenticated and delivered by the Trustee and issued by the Issuer in the manner and subject to any conditions specified in such Opinion of Counsel, will constitute valid and binding obligations of the Issuer, and covering such other matters as the Trustee may reasonably request.</w:t>
      </w:r>
    </w:p>
    <w:p>
      <w:pPr>
        <w:spacing w:after="0" w:line="128"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35" w:lineRule="exact"/>
        <w:rPr>
          <w:sz w:val="20"/>
          <w:szCs w:val="20"/>
          <w:color w:val="auto"/>
        </w:rPr>
      </w:pPr>
    </w:p>
    <w:p>
      <w:pPr>
        <w:ind w:left="1340" w:right="1539" w:firstLine="486"/>
        <w:spacing w:after="0" w:line="249" w:lineRule="auto"/>
        <w:rPr>
          <w:sz w:val="20"/>
          <w:szCs w:val="20"/>
          <w:color w:val="auto"/>
        </w:rPr>
      </w:pPr>
      <w:r>
        <w:rPr>
          <w:rFonts w:ascii="Times New Roman" w:cs="Times New Roman" w:eastAsia="Times New Roman" w:hAnsi="Times New Roman"/>
          <w:sz w:val="16"/>
          <w:szCs w:val="16"/>
          <w:color w:val="auto"/>
        </w:rPr>
        <w:t>The Issuer shall execute and the Trustee shall, in accordance with this Section with respect to the Securities of a series, authenticate and deliver one or more Global Securities that</w:t>
      </w:r>
    </w:p>
    <w:p>
      <w:pPr>
        <w:spacing w:after="0" w:line="1" w:lineRule="exact"/>
        <w:rPr>
          <w:sz w:val="20"/>
          <w:szCs w:val="20"/>
          <w:color w:val="auto"/>
        </w:rPr>
      </w:pPr>
    </w:p>
    <w:p>
      <w:pPr>
        <w:ind w:left="1340" w:right="1439" w:firstLine="3"/>
        <w:spacing w:after="0"/>
        <w:tabs>
          <w:tab w:leader="none" w:pos="153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36"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35"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21"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Execution of Securities</w:t>
      </w:r>
      <w:r>
        <w:rPr>
          <w:rFonts w:ascii="Times New Roman" w:cs="Times New Roman" w:eastAsia="Times New Roman" w:hAnsi="Times New Roman"/>
          <w:sz w:val="16"/>
          <w:szCs w:val="16"/>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4" w:name="page135"/>
    <w:bookmarkEnd w:id="134"/>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320"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Certificate of Authentication</w:t>
      </w:r>
      <w:r>
        <w:rPr>
          <w:rFonts w:ascii="Times New Roman" w:cs="Times New Roman" w:eastAsia="Times New Roman" w:hAnsi="Times New Roman"/>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Denomination and Date of Securities; Payments of Interest</w:t>
      </w:r>
      <w:r>
        <w:rPr>
          <w:rFonts w:ascii="Times New Roman" w:cs="Times New Roman" w:eastAsia="Times New Roman" w:hAnsi="Times New Roman"/>
          <w:sz w:val="16"/>
          <w:szCs w:val="16"/>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36" w:lineRule="exact"/>
        <w:rPr>
          <w:sz w:val="20"/>
          <w:szCs w:val="20"/>
          <w:color w:val="auto"/>
        </w:rPr>
      </w:pPr>
    </w:p>
    <w:p>
      <w:pPr>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23"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5" w:name="page136"/>
    <w:bookmarkEnd w:id="135"/>
    <w:p>
      <w:pPr>
        <w:ind w:left="1340" w:right="1599"/>
        <w:spacing w:after="0" w:line="272" w:lineRule="auto"/>
        <w:rPr>
          <w:sz w:val="20"/>
          <w:szCs w:val="20"/>
          <w:color w:val="auto"/>
        </w:rPr>
      </w:pPr>
      <w:r>
        <w:rPr>
          <w:rFonts w:ascii="Times New Roman" w:cs="Times New Roman" w:eastAsia="Times New Roman" w:hAnsi="Times New Roman"/>
          <w:sz w:val="16"/>
          <w:szCs w:val="16"/>
          <w:color w:val="auto"/>
        </w:rPr>
        <w:t>calendar month or, if such Interest Payment Date is the 15th day of a calendar month, the first day of such calendar month, whether or not such record date is a Business Day.</w:t>
      </w:r>
    </w:p>
    <w:p>
      <w:pPr>
        <w:spacing w:after="0" w:line="108" w:lineRule="exact"/>
        <w:rPr>
          <w:sz w:val="20"/>
          <w:szCs w:val="20"/>
          <w:color w:val="auto"/>
        </w:rPr>
      </w:pPr>
    </w:p>
    <w:p>
      <w:pPr>
        <w:ind w:left="1340" w:right="149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Registration, Transfer and Exchange</w:t>
      </w:r>
      <w:r>
        <w:rPr>
          <w:rFonts w:ascii="Times New Roman" w:cs="Times New Roman" w:eastAsia="Times New Roman" w:hAnsi="Times New Roman"/>
          <w:sz w:val="16"/>
          <w:szCs w:val="16"/>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319" w:lineRule="exact"/>
        <w:rPr>
          <w:sz w:val="20"/>
          <w:szCs w:val="20"/>
          <w:color w:val="auto"/>
        </w:rPr>
      </w:pPr>
    </w:p>
    <w:p>
      <w:pPr>
        <w:ind w:left="1340" w:right="1619" w:firstLine="486"/>
        <w:spacing w:after="0" w:line="246" w:lineRule="auto"/>
        <w:rPr>
          <w:sz w:val="20"/>
          <w:szCs w:val="20"/>
          <w:color w:val="auto"/>
        </w:rPr>
      </w:pPr>
      <w:r>
        <w:rPr>
          <w:rFonts w:ascii="Times New Roman" w:cs="Times New Roman" w:eastAsia="Times New Roman" w:hAnsi="Times New Roman"/>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38" w:lineRule="exact"/>
        <w:rPr>
          <w:sz w:val="20"/>
          <w:szCs w:val="20"/>
          <w:color w:val="auto"/>
        </w:rPr>
      </w:pPr>
    </w:p>
    <w:p>
      <w:pPr>
        <w:jc w:val="both"/>
        <w:ind w:left="1340" w:right="1579" w:firstLine="486"/>
        <w:spacing w:after="0" w:line="249" w:lineRule="auto"/>
        <w:rPr>
          <w:sz w:val="20"/>
          <w:szCs w:val="20"/>
          <w:color w:val="auto"/>
        </w:rPr>
      </w:pPr>
      <w:r>
        <w:rPr>
          <w:rFonts w:ascii="Times New Roman" w:cs="Times New Roman" w:eastAsia="Times New Roman" w:hAnsi="Times New Roman"/>
          <w:sz w:val="16"/>
          <w:szCs w:val="16"/>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28"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3" w:lineRule="exact"/>
        <w:rPr>
          <w:sz w:val="20"/>
          <w:szCs w:val="20"/>
          <w:color w:val="auto"/>
        </w:rPr>
      </w:pPr>
    </w:p>
    <w:p>
      <w:pPr>
        <w:ind w:left="1340" w:right="1439" w:firstLine="486"/>
        <w:spacing w:after="0" w:line="246" w:lineRule="auto"/>
        <w:rPr>
          <w:sz w:val="20"/>
          <w:szCs w:val="20"/>
          <w:color w:val="auto"/>
        </w:rPr>
      </w:pPr>
      <w:r>
        <w:rPr>
          <w:rFonts w:ascii="Times New Roman" w:cs="Times New Roman" w:eastAsia="Times New Roman" w:hAnsi="Times New Roman"/>
          <w:sz w:val="16"/>
          <w:szCs w:val="16"/>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31" w:lineRule="exact"/>
        <w:rPr>
          <w:sz w:val="20"/>
          <w:szCs w:val="20"/>
          <w:color w:val="auto"/>
        </w:rPr>
      </w:pPr>
    </w:p>
    <w:p>
      <w:pPr>
        <w:jc w:val="both"/>
        <w:ind w:left="1340" w:right="1399" w:firstLine="486"/>
        <w:spacing w:after="0" w:line="255" w:lineRule="auto"/>
        <w:rPr>
          <w:sz w:val="20"/>
          <w:szCs w:val="20"/>
          <w:color w:val="auto"/>
        </w:rPr>
      </w:pPr>
      <w:r>
        <w:rPr>
          <w:rFonts w:ascii="Times New Roman" w:cs="Times New Roman" w:eastAsia="Times New Roman" w:hAnsi="Times New Roman"/>
          <w:sz w:val="16"/>
          <w:szCs w:val="16"/>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6" w:name="page137"/>
    <w:bookmarkEnd w:id="136"/>
    <w:p>
      <w:pPr>
        <w:ind w:left="1340" w:right="1499"/>
        <w:spacing w:after="0" w:line="255" w:lineRule="auto"/>
        <w:rPr>
          <w:sz w:val="20"/>
          <w:szCs w:val="20"/>
          <w:color w:val="auto"/>
        </w:rPr>
      </w:pPr>
      <w:r>
        <w:rPr>
          <w:rFonts w:ascii="Times New Roman" w:cs="Times New Roman" w:eastAsia="Times New Roman" w:hAnsi="Times New Roman"/>
          <w:sz w:val="16"/>
          <w:szCs w:val="16"/>
          <w:color w:val="auto"/>
        </w:rPr>
        <w:t>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23"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41"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37"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131" w:lineRule="exact"/>
        <w:rPr>
          <w:sz w:val="20"/>
          <w:szCs w:val="20"/>
          <w:color w:val="auto"/>
        </w:rPr>
      </w:pPr>
    </w:p>
    <w:p>
      <w:pPr>
        <w:jc w:val="both"/>
        <w:ind w:left="1340" w:right="1379" w:firstLine="489"/>
        <w:spacing w:after="0" w:line="255" w:lineRule="auto"/>
        <w:tabs>
          <w:tab w:leader="none" w:pos="2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122" w:lineRule="exact"/>
        <w:rPr>
          <w:rFonts w:ascii="Times New Roman" w:cs="Times New Roman" w:eastAsia="Times New Roman" w:hAnsi="Times New Roman"/>
          <w:sz w:val="16"/>
          <w:szCs w:val="16"/>
          <w:color w:val="auto"/>
        </w:rPr>
      </w:pPr>
    </w:p>
    <w:p>
      <w:pPr>
        <w:jc w:val="both"/>
        <w:ind w:left="1340" w:right="1359" w:firstLine="489"/>
        <w:spacing w:after="0" w:line="255" w:lineRule="auto"/>
        <w:tabs>
          <w:tab w:leader="none" w:pos="2065"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123"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7" w:name="page138"/>
    <w:bookmarkEnd w:id="137"/>
    <w:p>
      <w:pPr>
        <w:ind w:left="1340" w:right="1839"/>
        <w:spacing w:after="0" w:line="272" w:lineRule="auto"/>
        <w:rPr>
          <w:sz w:val="20"/>
          <w:szCs w:val="20"/>
          <w:color w:val="auto"/>
        </w:rPr>
      </w:pPr>
      <w:r>
        <w:rPr>
          <w:rFonts w:ascii="Times New Roman" w:cs="Times New Roman" w:eastAsia="Times New Roman" w:hAnsi="Times New Roman"/>
          <w:sz w:val="16"/>
          <w:szCs w:val="16"/>
          <w:color w:val="auto"/>
        </w:rPr>
        <w:t>shall instruct the Trustee. The Trustee shall deliver such Securities to or as directed by the Persons in whose names such Securities are so registered.</w:t>
      </w:r>
    </w:p>
    <w:p>
      <w:pPr>
        <w:spacing w:after="0" w:line="110" w:lineRule="exact"/>
        <w:rPr>
          <w:sz w:val="20"/>
          <w:szCs w:val="20"/>
          <w:color w:val="auto"/>
        </w:rPr>
      </w:pPr>
    </w:p>
    <w:p>
      <w:pPr>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Mutilated, Defaced, Destroyed, Lost and Stolen Securities.</w:t>
      </w:r>
      <w:r>
        <w:rPr>
          <w:rFonts w:ascii="Times New Roman" w:cs="Times New Roman" w:eastAsia="Times New Roman" w:hAnsi="Times New Roman"/>
          <w:sz w:val="16"/>
          <w:szCs w:val="16"/>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327"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39"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8" w:name="page139"/>
    <w:bookmarkEnd w:id="138"/>
    <w:p>
      <w:pPr>
        <w:ind w:left="1340" w:right="1459"/>
        <w:spacing w:after="0" w:line="272" w:lineRule="auto"/>
        <w:rPr>
          <w:sz w:val="20"/>
          <w:szCs w:val="20"/>
          <w:color w:val="auto"/>
        </w:rPr>
      </w:pPr>
      <w:r>
        <w:rPr>
          <w:rFonts w:ascii="Times New Roman" w:cs="Times New Roman" w:eastAsia="Times New Roman" w:hAnsi="Times New Roman"/>
          <w:sz w:val="16"/>
          <w:szCs w:val="16"/>
          <w:color w:val="auto"/>
        </w:rPr>
        <w:t>with respect to the replacement or payment of negotiable instruments or other securities without their surrender.</w:t>
      </w:r>
    </w:p>
    <w:p>
      <w:pPr>
        <w:spacing w:after="0" w:line="108"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Cancellation of Securities; Destruction Thereof.</w:t>
      </w:r>
      <w:r>
        <w:rPr>
          <w:rFonts w:ascii="Times New Roman" w:cs="Times New Roman" w:eastAsia="Times New Roman" w:hAnsi="Times New Roman"/>
          <w:sz w:val="16"/>
          <w:szCs w:val="16"/>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38" w:lineRule="exact"/>
        <w:rPr>
          <w:sz w:val="20"/>
          <w:szCs w:val="20"/>
          <w:color w:val="auto"/>
        </w:rPr>
      </w:pPr>
    </w:p>
    <w:p>
      <w:pPr>
        <w:ind w:left="1340" w:right="137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2.11 </w:t>
      </w:r>
      <w:r>
        <w:rPr>
          <w:rFonts w:ascii="Times New Roman" w:cs="Times New Roman" w:eastAsia="Times New Roman" w:hAnsi="Times New Roman"/>
          <w:sz w:val="16"/>
          <w:szCs w:val="16"/>
          <w:i w:val="1"/>
          <w:iCs w:val="1"/>
          <w:color w:val="auto"/>
        </w:rPr>
        <w:t>Temporary Securities.</w:t>
      </w:r>
      <w:r>
        <w:rPr>
          <w:rFonts w:ascii="Times New Roman" w:cs="Times New Roman" w:eastAsia="Times New Roman" w:hAnsi="Times New Roman"/>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46"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2.12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3</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COVENANTS OF THE ISSUER</w:t>
      </w:r>
    </w:p>
    <w:p>
      <w:pPr>
        <w:spacing w:after="0" w:line="14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xml:space="preserve"> The Issuer covenants and agrees for the benefit of each series of Securities that it will duly and punctually pay or cause to be paid the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9" w:name="page140"/>
    <w:bookmarkEnd w:id="139"/>
    <w:p>
      <w:pPr>
        <w:ind w:left="1340" w:right="1399"/>
        <w:spacing w:after="0" w:line="242" w:lineRule="auto"/>
        <w:rPr>
          <w:sz w:val="20"/>
          <w:szCs w:val="20"/>
          <w:color w:val="auto"/>
        </w:rPr>
      </w:pPr>
      <w:r>
        <w:rPr>
          <w:rFonts w:ascii="Times New Roman" w:cs="Times New Roman" w:eastAsia="Times New Roman" w:hAnsi="Times New Roman"/>
          <w:sz w:val="16"/>
          <w:szCs w:val="16"/>
          <w:color w:val="auto"/>
        </w:rPr>
        <w:t>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320" w:lineRule="exact"/>
        <w:rPr>
          <w:sz w:val="20"/>
          <w:szCs w:val="20"/>
          <w:color w:val="auto"/>
        </w:rPr>
      </w:pPr>
    </w:p>
    <w:p>
      <w:pPr>
        <w:ind w:left="1820"/>
        <w:spacing w:after="0"/>
        <w:tabs>
          <w:tab w:leader="none" w:pos="2780" w:val="left"/>
        </w:tabs>
        <w:rPr>
          <w:sz w:val="20"/>
          <w:szCs w:val="20"/>
          <w:color w:val="auto"/>
        </w:rPr>
      </w:pPr>
      <w:r>
        <w:rPr>
          <w:rFonts w:ascii="Times New Roman" w:cs="Times New Roman" w:eastAsia="Times New Roman" w:hAnsi="Times New Roman"/>
          <w:sz w:val="16"/>
          <w:szCs w:val="16"/>
          <w:color w:val="auto"/>
        </w:rPr>
        <w:t>Section 3.02</w:t>
      </w:r>
      <w:r>
        <w:rPr>
          <w:sz w:val="20"/>
          <w:szCs w:val="20"/>
          <w:color w:val="auto"/>
        </w:rPr>
        <w:tab/>
      </w:r>
      <w:r>
        <w:rPr>
          <w:rFonts w:ascii="Times New Roman" w:cs="Times New Roman" w:eastAsia="Times New Roman" w:hAnsi="Times New Roman"/>
          <w:sz w:val="16"/>
          <w:szCs w:val="16"/>
          <w:i w:val="1"/>
          <w:iCs w:val="1"/>
          <w:color w:val="auto"/>
        </w:rPr>
        <w:t xml:space="preserve">Offices for Payments, Etc. </w:t>
      </w:r>
      <w:r>
        <w:rPr>
          <w:rFonts w:ascii="Times New Roman" w:cs="Times New Roman" w:eastAsia="Times New Roman" w:hAnsi="Times New Roman"/>
          <w:sz w:val="16"/>
          <w:szCs w:val="16"/>
          <w:color w:val="auto"/>
        </w:rPr>
        <w:t>The Issuer will maintain (i) in _______, an</w:t>
      </w:r>
    </w:p>
    <w:p>
      <w:pPr>
        <w:spacing w:after="0" w:line="18" w:lineRule="exact"/>
        <w:rPr>
          <w:sz w:val="20"/>
          <w:szCs w:val="20"/>
          <w:color w:val="auto"/>
        </w:rPr>
      </w:pPr>
    </w:p>
    <w:p>
      <w:pPr>
        <w:ind w:left="1340" w:right="1519"/>
        <w:spacing w:after="0"/>
        <w:rPr>
          <w:sz w:val="20"/>
          <w:szCs w:val="20"/>
          <w:color w:val="auto"/>
        </w:rPr>
      </w:pPr>
      <w:r>
        <w:rPr>
          <w:rFonts w:ascii="Times New Roman" w:cs="Times New Roman" w:eastAsia="Times New Roman" w:hAnsi="Times New Roman"/>
          <w:sz w:val="16"/>
          <w:szCs w:val="16"/>
          <w:color w:val="auto"/>
        </w:rPr>
        <w:t>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The Issuer will maintain in __________, an agency where notices and demands to 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upon the Issuer in respect of the Securities of any series or this Indenture may be served.</w:t>
      </w:r>
    </w:p>
    <w:p>
      <w:pPr>
        <w:spacing w:after="0" w:line="142" w:lineRule="exact"/>
        <w:rPr>
          <w:sz w:val="20"/>
          <w:szCs w:val="20"/>
          <w:color w:val="auto"/>
        </w:rPr>
      </w:pPr>
    </w:p>
    <w:p>
      <w:pPr>
        <w:jc w:val="both"/>
        <w:ind w:left="1340" w:right="1399" w:firstLine="486"/>
        <w:spacing w:after="0" w:line="245" w:lineRule="auto"/>
        <w:rPr>
          <w:sz w:val="20"/>
          <w:szCs w:val="20"/>
          <w:color w:val="auto"/>
        </w:rPr>
      </w:pPr>
      <w:r>
        <w:rPr>
          <w:rFonts w:ascii="Times New Roman" w:cs="Times New Roman" w:eastAsia="Times New Roman" w:hAnsi="Times New Roman"/>
          <w:sz w:val="16"/>
          <w:szCs w:val="16"/>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w:t>
      </w:r>
    </w:p>
    <w:p>
      <w:pPr>
        <w:spacing w:after="0" w:line="2" w:lineRule="exact"/>
        <w:rPr>
          <w:sz w:val="20"/>
          <w:szCs w:val="20"/>
          <w:color w:val="auto"/>
        </w:rPr>
      </w:pPr>
    </w:p>
    <w:p>
      <w:pPr>
        <w:ind w:left="1340" w:right="1739"/>
        <w:spacing w:after="0" w:line="248" w:lineRule="auto"/>
        <w:rPr>
          <w:sz w:val="20"/>
          <w:szCs w:val="20"/>
          <w:color w:val="auto"/>
        </w:rPr>
      </w:pPr>
      <w:r>
        <w:rPr>
          <w:rFonts w:ascii="Times New Roman" w:cs="Times New Roman" w:eastAsia="Times New Roman" w:hAnsi="Times New Roman"/>
          <w:sz w:val="16"/>
          <w:szCs w:val="16"/>
          <w:color w:val="auto"/>
        </w:rPr>
        <w:t>any change in the location of any of the above agencies, presentations and demands may be made and notices may be served at the Corporate Trust Office of the Trustee.</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32" w:lineRule="exact"/>
        <w:rPr>
          <w:sz w:val="20"/>
          <w:szCs w:val="20"/>
          <w:color w:val="auto"/>
        </w:rPr>
      </w:pPr>
    </w:p>
    <w:p>
      <w:pPr>
        <w:jc w:val="both"/>
        <w:ind w:left="1340" w:right="14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i w:val="1"/>
          <w:iCs w:val="1"/>
          <w:color w:val="auto"/>
        </w:rPr>
        <w:t>Appointment to Fill a Vacancy in Office of Trustee.</w:t>
      </w:r>
      <w:r>
        <w:rPr>
          <w:rFonts w:ascii="Times New Roman" w:cs="Times New Roman" w:eastAsia="Times New Roman" w:hAnsi="Times New Roman"/>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25" w:lineRule="exact"/>
        <w:rPr>
          <w:sz w:val="20"/>
          <w:szCs w:val="20"/>
          <w:color w:val="auto"/>
        </w:rPr>
      </w:pPr>
    </w:p>
    <w:p>
      <w:pPr>
        <w:ind w:left="1340" w:right="16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i w:val="1"/>
          <w:iCs w:val="1"/>
          <w:color w:val="auto"/>
        </w:rPr>
        <w:t>Paying Agents.</w:t>
      </w:r>
      <w:r>
        <w:rPr>
          <w:rFonts w:ascii="Times New Roman" w:cs="Times New Roman" w:eastAsia="Times New Roman" w:hAnsi="Times New Roman"/>
          <w:sz w:val="16"/>
          <w:szCs w:val="16"/>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27" w:lineRule="exact"/>
        <w:rPr>
          <w:sz w:val="20"/>
          <w:szCs w:val="20"/>
          <w:color w:val="auto"/>
        </w:rPr>
      </w:pPr>
    </w:p>
    <w:p>
      <w:pPr>
        <w:ind w:left="1340" w:right="1499" w:firstLine="976"/>
        <w:spacing w:after="0" w:line="272" w:lineRule="auto"/>
        <w:tabs>
          <w:tab w:leader="none" w:pos="263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received by it as such agent for the payment of the principal of or interest on the Securities of such series (whether such sums have been paid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0" w:name="page141"/>
    <w:bookmarkEnd w:id="140"/>
    <w:p>
      <w:pPr>
        <w:ind w:left="1340" w:right="1459"/>
        <w:spacing w:after="0" w:line="272" w:lineRule="auto"/>
        <w:rPr>
          <w:sz w:val="20"/>
          <w:szCs w:val="20"/>
          <w:color w:val="auto"/>
        </w:rPr>
      </w:pPr>
      <w:r>
        <w:rPr>
          <w:rFonts w:ascii="Times New Roman" w:cs="Times New Roman" w:eastAsia="Times New Roman" w:hAnsi="Times New Roman"/>
          <w:sz w:val="16"/>
          <w:szCs w:val="16"/>
          <w:color w:val="auto"/>
        </w:rPr>
        <w:t>it by the Issuer or by any other obligor on the Securities of such series) in trust for the benefit of the Holders of the Securities of such series or of the Trustee,</w:t>
      </w:r>
    </w:p>
    <w:p>
      <w:pPr>
        <w:spacing w:after="0" w:line="110" w:lineRule="exact"/>
        <w:rPr>
          <w:sz w:val="20"/>
          <w:szCs w:val="20"/>
          <w:color w:val="auto"/>
        </w:rPr>
      </w:pPr>
    </w:p>
    <w:p>
      <w:pPr>
        <w:ind w:left="1340" w:right="1399" w:firstLine="976"/>
        <w:spacing w:after="0" w:line="255" w:lineRule="auto"/>
        <w:tabs>
          <w:tab w:leader="none" w:pos="263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22" w:lineRule="exact"/>
        <w:rPr>
          <w:rFonts w:ascii="Times New Roman" w:cs="Times New Roman" w:eastAsia="Times New Roman" w:hAnsi="Times New Roman"/>
          <w:sz w:val="16"/>
          <w:szCs w:val="16"/>
          <w:color w:val="auto"/>
        </w:rPr>
      </w:pPr>
    </w:p>
    <w:p>
      <w:pPr>
        <w:ind w:left="1340" w:right="1359" w:firstLine="976"/>
        <w:spacing w:after="0" w:line="255" w:lineRule="auto"/>
        <w:tabs>
          <w:tab w:leader="none" w:pos="263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 any time during the continuance of any such failure, upon the written request of the Trustee, it will forthwith pay to the Trustee all sums so held in trust by such paying agent.</w:t>
      </w:r>
    </w:p>
    <w:p>
      <w:pPr>
        <w:spacing w:after="0" w:line="123" w:lineRule="exact"/>
        <w:rPr>
          <w:sz w:val="20"/>
          <w:szCs w:val="20"/>
          <w:color w:val="auto"/>
        </w:rPr>
      </w:pPr>
    </w:p>
    <w:p>
      <w:pPr>
        <w:ind w:left="1340" w:right="1479" w:firstLine="486"/>
        <w:spacing w:after="0" w:line="249" w:lineRule="auto"/>
        <w:rPr>
          <w:sz w:val="20"/>
          <w:szCs w:val="20"/>
          <w:color w:val="auto"/>
        </w:rPr>
      </w:pPr>
      <w:r>
        <w:rPr>
          <w:rFonts w:ascii="Times New Roman" w:cs="Times New Roman" w:eastAsia="Times New Roman" w:hAnsi="Times New Roman"/>
          <w:sz w:val="16"/>
          <w:szCs w:val="16"/>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8"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31"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34" w:lineRule="exact"/>
        <w:rPr>
          <w:sz w:val="20"/>
          <w:szCs w:val="20"/>
          <w:color w:val="auto"/>
        </w:rPr>
      </w:pPr>
    </w:p>
    <w:p>
      <w:pPr>
        <w:ind w:left="1340" w:right="1499" w:firstLine="486"/>
        <w:spacing w:after="0" w:line="272" w:lineRule="auto"/>
        <w:rPr>
          <w:sz w:val="20"/>
          <w:szCs w:val="20"/>
          <w:color w:val="auto"/>
        </w:rPr>
      </w:pPr>
      <w:r>
        <w:rPr>
          <w:rFonts w:ascii="Times New Roman" w:cs="Times New Roman" w:eastAsia="Times New Roman" w:hAnsi="Times New Roman"/>
          <w:sz w:val="16"/>
          <w:szCs w:val="16"/>
          <w:color w:val="auto"/>
        </w:rPr>
        <w:t>Anything in this Section to the contrary notwithstanding, the agreement to hold sums in trust as provided in this Section is subject to the provisions of Sections 10.03 and 10.04.</w:t>
      </w:r>
    </w:p>
    <w:p>
      <w:pPr>
        <w:spacing w:after="0" w:line="108"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i w:val="1"/>
          <w:iCs w:val="1"/>
          <w:color w:val="auto"/>
        </w:rPr>
        <w:t>Written Statement to Trustee.</w:t>
      </w:r>
      <w:r>
        <w:rPr>
          <w:rFonts w:ascii="Times New Roman" w:cs="Times New Roman" w:eastAsia="Times New Roman" w:hAnsi="Times New Roman"/>
          <w:sz w:val="16"/>
          <w:szCs w:val="16"/>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4</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SECURITYHOLDERS LISTS AND REPORTS BY THE ISSUER AND THE TRUSTEE</w:t>
      </w:r>
    </w:p>
    <w:p>
      <w:pPr>
        <w:spacing w:after="0" w:line="140" w:lineRule="exact"/>
        <w:rPr>
          <w:sz w:val="20"/>
          <w:szCs w:val="20"/>
          <w:color w:val="auto"/>
        </w:rPr>
      </w:pPr>
    </w:p>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Issuer to Furnish Trustee Information as to Names and Addresses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Securityholders. </w:t>
      </w:r>
      <w:r>
        <w:rPr>
          <w:rFonts w:ascii="Times New Roman" w:cs="Times New Roman" w:eastAsia="Times New Roman" w:hAnsi="Times New Roman"/>
          <w:sz w:val="16"/>
          <w:szCs w:val="16"/>
          <w:color w:val="auto"/>
        </w:rPr>
        <w:t>The Issuer covenants and agrees that it will furnish or cause to be furnished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Trustee a list in such form as the Trustee may reasonably require of the names and addresses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1" w:name="page142"/>
    <w:bookmarkEnd w:id="141"/>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of the Holders of the Securities of each series pursuant to Section 312 of the Trust Indenture Act of 1939:</w:t>
      </w:r>
    </w:p>
    <w:p>
      <w:pPr>
        <w:spacing w:after="0" w:line="110" w:lineRule="exact"/>
        <w:rPr>
          <w:sz w:val="20"/>
          <w:szCs w:val="20"/>
          <w:color w:val="auto"/>
        </w:rPr>
      </w:pPr>
    </w:p>
    <w:p>
      <w:pPr>
        <w:ind w:left="1340" w:right="1479" w:firstLine="976"/>
        <w:spacing w:after="0" w:line="249" w:lineRule="auto"/>
        <w:tabs>
          <w:tab w:leader="none" w:pos="263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6" w:lineRule="auto"/>
        <w:tabs>
          <w:tab w:leader="none" w:pos="263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such other times as the Trustee may request in writing, within 30 days after receipt by the Issuer of any such request as of a date not more than 15 days prior to the time such information is furnished,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and so long as the Trustee shall be the Security registrar (the </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for such series, such list shall not be required to be furnished.</w:t>
      </w:r>
    </w:p>
    <w:p>
      <w:pPr>
        <w:spacing w:after="0" w:line="318" w:lineRule="exact"/>
        <w:rPr>
          <w:sz w:val="20"/>
          <w:szCs w:val="20"/>
          <w:color w:val="auto"/>
        </w:rPr>
      </w:pPr>
    </w:p>
    <w:p>
      <w:pPr>
        <w:ind w:left="1340" w:right="13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Reports by the Issuer.</w:t>
      </w:r>
      <w:r>
        <w:rPr>
          <w:rFonts w:ascii="Times New Roman" w:cs="Times New Roman" w:eastAsia="Times New Roman" w:hAnsi="Times New Roman"/>
          <w:sz w:val="16"/>
          <w:szCs w:val="16"/>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25" w:lineRule="exact"/>
        <w:rPr>
          <w:sz w:val="20"/>
          <w:szCs w:val="20"/>
          <w:color w:val="auto"/>
        </w:rPr>
      </w:pPr>
    </w:p>
    <w:p>
      <w:pPr>
        <w:ind w:left="1340" w:right="14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Reports by the Trustee.</w:t>
      </w:r>
      <w:r>
        <w:rPr>
          <w:rFonts w:ascii="Times New Roman" w:cs="Times New Roman" w:eastAsia="Times New Roman" w:hAnsi="Times New Roman"/>
          <w:sz w:val="16"/>
          <w:szCs w:val="16"/>
          <w:color w:val="auto"/>
        </w:rPr>
        <w:t xml:space="preserve"> Any Trustee’s report required under Section 313(a) of the Trust Indenture Act of 1939 shall be transmitted on or before ______ in each year</w:t>
      </w:r>
    </w:p>
    <w:p>
      <w:pPr>
        <w:spacing w:after="0" w:line="1"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6"/>
          <w:szCs w:val="16"/>
          <w:color w:val="auto"/>
        </w:rPr>
        <w:t>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317"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Preservation of Information; Communication with Securityholders.</w:t>
      </w:r>
      <w:r>
        <w:rPr>
          <w:rFonts w:ascii="Times New Roman" w:cs="Times New Roman" w:eastAsia="Times New Roman" w:hAnsi="Times New Roman"/>
          <w:sz w:val="16"/>
          <w:szCs w:val="16"/>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129" w:lineRule="exact"/>
        <w:rPr>
          <w:sz w:val="20"/>
          <w:szCs w:val="20"/>
          <w:color w:val="auto"/>
        </w:rPr>
      </w:pPr>
    </w:p>
    <w:p>
      <w:pPr>
        <w:ind w:left="1340" w:right="1499" w:firstLine="976"/>
        <w:spacing w:after="0" w:line="272" w:lineRule="auto"/>
        <w:tabs>
          <w:tab w:leader="none" w:pos="26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destroy any list furnished to it as provided in Section 4.01 upon receipt of a new list so furnished.</w:t>
      </w:r>
    </w:p>
    <w:p>
      <w:pPr>
        <w:spacing w:after="0" w:line="109" w:lineRule="exact"/>
        <w:rPr>
          <w:rFonts w:ascii="Times New Roman" w:cs="Times New Roman" w:eastAsia="Times New Roman" w:hAnsi="Times New Roman"/>
          <w:sz w:val="16"/>
          <w:szCs w:val="16"/>
          <w:color w:val="auto"/>
        </w:rPr>
      </w:pPr>
    </w:p>
    <w:p>
      <w:pPr>
        <w:jc w:val="both"/>
        <w:ind w:left="1340" w:right="1379" w:firstLine="976"/>
        <w:spacing w:after="0" w:line="249" w:lineRule="auto"/>
        <w:tabs>
          <w:tab w:leader="none" w:pos="26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5</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REMEDIES OF THE TRUSTEE AND SECURITYHOLDERS ON EVENT OF DEFAULT</w:t>
      </w:r>
    </w:p>
    <w:p>
      <w:pPr>
        <w:spacing w:after="0" w:line="140" w:lineRule="exact"/>
        <w:rPr>
          <w:sz w:val="20"/>
          <w:szCs w:val="20"/>
          <w:color w:val="auto"/>
        </w:rPr>
      </w:pPr>
    </w:p>
    <w:p>
      <w:pPr>
        <w:jc w:val="both"/>
        <w:ind w:left="1340" w:right="15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Event of Default Defined; Acceleration of Maturity; Waiver of Default.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2" w:name="page143"/>
    <w:bookmarkEnd w:id="142"/>
    <w:p>
      <w:pPr>
        <w:ind w:left="1340" w:right="1519"/>
        <w:spacing w:after="0" w:line="272" w:lineRule="auto"/>
        <w:rPr>
          <w:sz w:val="20"/>
          <w:szCs w:val="20"/>
          <w:color w:val="auto"/>
        </w:rPr>
      </w:pPr>
      <w:r>
        <w:rPr>
          <w:rFonts w:ascii="Times New Roman" w:cs="Times New Roman" w:eastAsia="Times New Roman" w:hAnsi="Times New Roman"/>
          <w:sz w:val="16"/>
          <w:szCs w:val="16"/>
          <w:color w:val="auto"/>
        </w:rPr>
        <w:t>operation of law or pursuant to any judgment, decree or order of any court or any order, rule or regulation of any administrative or governmental body):</w:t>
      </w:r>
    </w:p>
    <w:p>
      <w:pPr>
        <w:spacing w:after="0" w:line="110" w:lineRule="exact"/>
        <w:rPr>
          <w:sz w:val="20"/>
          <w:szCs w:val="20"/>
          <w:color w:val="auto"/>
        </w:rPr>
      </w:pPr>
    </w:p>
    <w:p>
      <w:pPr>
        <w:ind w:left="1340" w:right="1359" w:firstLine="976"/>
        <w:spacing w:after="0" w:line="249" w:lineRule="auto"/>
        <w:tabs>
          <w:tab w:leader="none" w:pos="263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9" w:lineRule="auto"/>
        <w:tabs>
          <w:tab w:leader="none" w:pos="263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27" w:lineRule="exact"/>
        <w:rPr>
          <w:rFonts w:ascii="Times New Roman" w:cs="Times New Roman" w:eastAsia="Times New Roman" w:hAnsi="Times New Roman"/>
          <w:sz w:val="16"/>
          <w:szCs w:val="16"/>
          <w:color w:val="auto"/>
        </w:rPr>
      </w:pPr>
    </w:p>
    <w:p>
      <w:pPr>
        <w:ind w:left="1340" w:right="1359" w:firstLine="976"/>
        <w:spacing w:after="0" w:line="242" w:lineRule="auto"/>
        <w:tabs>
          <w:tab w:leader="none" w:pos="263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 w:cs="Times New Roman" w:eastAsia="Times New Roman" w:hAnsi="Times New Roman"/>
          <w:sz w:val="16"/>
          <w:szCs w:val="16"/>
          <w:b w:val="1"/>
          <w:bCs w:val="1"/>
          <w:color w:val="auto"/>
        </w:rPr>
        <w:t>Notice of Default</w:t>
      </w:r>
      <w:r>
        <w:rPr>
          <w:rFonts w:ascii="Times New Roman" w:cs="Times New Roman" w:eastAsia="Times New Roman" w:hAnsi="Times New Roman"/>
          <w:sz w:val="16"/>
          <w:szCs w:val="16"/>
          <w:color w:val="auto"/>
        </w:rPr>
        <w:t>” hereunder; or</w:t>
      </w:r>
    </w:p>
    <w:p>
      <w:pPr>
        <w:spacing w:after="0" w:line="136" w:lineRule="exact"/>
        <w:rPr>
          <w:rFonts w:ascii="Times New Roman" w:cs="Times New Roman" w:eastAsia="Times New Roman" w:hAnsi="Times New Roman"/>
          <w:sz w:val="16"/>
          <w:szCs w:val="16"/>
          <w:color w:val="auto"/>
        </w:rPr>
      </w:pPr>
    </w:p>
    <w:p>
      <w:pPr>
        <w:ind w:left="1340" w:right="1399" w:firstLine="976"/>
        <w:spacing w:after="0" w:line="244" w:lineRule="auto"/>
        <w:tabs>
          <w:tab w:leader="none" w:pos="263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133" w:lineRule="exact"/>
        <w:rPr>
          <w:rFonts w:ascii="Times New Roman" w:cs="Times New Roman" w:eastAsia="Times New Roman" w:hAnsi="Times New Roman"/>
          <w:sz w:val="16"/>
          <w:szCs w:val="16"/>
          <w:color w:val="auto"/>
        </w:rPr>
      </w:pPr>
    </w:p>
    <w:p>
      <w:pPr>
        <w:ind w:left="1340" w:right="1359" w:firstLine="976"/>
        <w:spacing w:after="0" w:line="244" w:lineRule="auto"/>
        <w:tabs>
          <w:tab w:leader="none" w:pos="263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33"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 of Default provided for in such series of Securities.</w:t>
      </w:r>
    </w:p>
    <w:p>
      <w:pPr>
        <w:spacing w:after="0" w:line="160"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w:t>
      </w:r>
    </w:p>
    <w:p>
      <w:pPr>
        <w:spacing w:after="0" w:line="2" w:lineRule="exact"/>
        <w:rPr>
          <w:sz w:val="20"/>
          <w:szCs w:val="20"/>
          <w:color w:val="auto"/>
        </w:rPr>
      </w:pPr>
    </w:p>
    <w:p>
      <w:pPr>
        <w:ind w:left="1340" w:right="1359"/>
        <w:spacing w:after="0"/>
        <w:rPr>
          <w:sz w:val="20"/>
          <w:szCs w:val="20"/>
          <w:color w:val="auto"/>
        </w:rPr>
      </w:pPr>
      <w:r>
        <w:rPr>
          <w:rFonts w:ascii="Times New Roman" w:cs="Times New Roman" w:eastAsia="Times New Roman" w:hAnsi="Times New Roman"/>
          <w:sz w:val="16"/>
          <w:szCs w:val="16"/>
          <w:color w:val="auto"/>
        </w:rPr>
        <w:t>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3" w:name="page144"/>
    <w:bookmarkEnd w:id="143"/>
    <w:p>
      <w:pPr>
        <w:ind w:left="1340" w:right="1379"/>
        <w:spacing w:after="0" w:line="246" w:lineRule="auto"/>
        <w:rPr>
          <w:sz w:val="20"/>
          <w:szCs w:val="20"/>
          <w:color w:val="auto"/>
        </w:rPr>
      </w:pPr>
      <w:r>
        <w:rPr>
          <w:rFonts w:ascii="Times New Roman" w:cs="Times New Roman" w:eastAsia="Times New Roman" w:hAnsi="Times New Roman"/>
          <w:sz w:val="16"/>
          <w:szCs w:val="16"/>
          <w:color w:val="auto"/>
        </w:rPr>
        <w:t>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31"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45"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36" w:lineRule="exact"/>
        <w:rPr>
          <w:sz w:val="20"/>
          <w:szCs w:val="20"/>
          <w:color w:val="auto"/>
        </w:rPr>
      </w:pPr>
    </w:p>
    <w:p>
      <w:pPr>
        <w:ind w:left="1340" w:right="143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Collection of Debt by Trustee; Trustee May Prove Debt.</w:t>
      </w:r>
      <w:r>
        <w:rPr>
          <w:rFonts w:ascii="Times New Roman" w:cs="Times New Roman" w:eastAsia="Times New Roman" w:hAnsi="Times New Roman"/>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4" w:name="page145"/>
    <w:bookmarkEnd w:id="144"/>
    <w:p>
      <w:pPr>
        <w:ind w:left="1340" w:right="1399"/>
        <w:spacing w:after="0" w:line="242" w:lineRule="auto"/>
        <w:rPr>
          <w:sz w:val="20"/>
          <w:szCs w:val="20"/>
          <w:color w:val="auto"/>
        </w:rPr>
      </w:pPr>
      <w:r>
        <w:rPr>
          <w:rFonts w:ascii="Times New Roman" w:cs="Times New Roman" w:eastAsia="Times New Roman" w:hAnsi="Times New Roman"/>
          <w:sz w:val="16"/>
          <w:szCs w:val="16"/>
          <w:color w:val="auto"/>
        </w:rPr>
        <w:t>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34"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35"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36" w:lineRule="exact"/>
        <w:rPr>
          <w:sz w:val="20"/>
          <w:szCs w:val="20"/>
          <w:color w:val="auto"/>
        </w:rPr>
      </w:pPr>
    </w:p>
    <w:p>
      <w:pPr>
        <w:ind w:left="1340" w:right="1379" w:firstLine="489"/>
        <w:spacing w:after="0" w:line="241" w:lineRule="auto"/>
        <w:tabs>
          <w:tab w:leader="none" w:pos="20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35" w:lineRule="exact"/>
        <w:rPr>
          <w:rFonts w:ascii="Times New Roman" w:cs="Times New Roman" w:eastAsia="Times New Roman" w:hAnsi="Times New Roman"/>
          <w:sz w:val="16"/>
          <w:szCs w:val="16"/>
          <w:color w:val="auto"/>
        </w:rPr>
      </w:pPr>
    </w:p>
    <w:p>
      <w:pPr>
        <w:ind w:left="1340" w:right="1479" w:firstLine="489"/>
        <w:spacing w:after="0" w:line="249" w:lineRule="auto"/>
        <w:tabs>
          <w:tab w:leader="none" w:pos="206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5" w:name="page146"/>
    <w:bookmarkEnd w:id="145"/>
    <w:p>
      <w:pPr>
        <w:ind w:left="1340" w:right="1439" w:firstLine="489"/>
        <w:spacing w:after="0" w:line="241" w:lineRule="auto"/>
        <w:tabs>
          <w:tab w:leader="none" w:pos="211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36"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34"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37" w:lineRule="exact"/>
        <w:rPr>
          <w:sz w:val="20"/>
          <w:szCs w:val="20"/>
          <w:color w:val="auto"/>
        </w:rPr>
      </w:pPr>
    </w:p>
    <w:p>
      <w:pPr>
        <w:ind w:left="1340" w:right="1399" w:firstLine="486"/>
        <w:spacing w:after="0" w:line="246" w:lineRule="auto"/>
        <w:rPr>
          <w:sz w:val="20"/>
          <w:szCs w:val="20"/>
          <w:color w:val="auto"/>
        </w:rPr>
      </w:pPr>
      <w:r>
        <w:rPr>
          <w:rFonts w:ascii="Times New Roman" w:cs="Times New Roman" w:eastAsia="Times New Roman" w:hAnsi="Times New Roman"/>
          <w:sz w:val="16"/>
          <w:szCs w:val="16"/>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29"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i w:val="1"/>
          <w:iCs w:val="1"/>
          <w:color w:val="auto"/>
        </w:rPr>
        <w:t>Application of Proceeds.</w:t>
      </w:r>
      <w:r>
        <w:rPr>
          <w:rFonts w:ascii="Times New Roman" w:cs="Times New Roman" w:eastAsia="Times New Roman" w:hAnsi="Times New Roman"/>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31" w:lineRule="exact"/>
        <w:rPr>
          <w:sz w:val="20"/>
          <w:szCs w:val="20"/>
          <w:color w:val="auto"/>
        </w:rPr>
      </w:pPr>
    </w:p>
    <w:p>
      <w:pPr>
        <w:ind w:left="1340" w:right="1739" w:firstLine="486"/>
        <w:spacing w:after="0" w:line="272" w:lineRule="auto"/>
        <w:rPr>
          <w:sz w:val="20"/>
          <w:szCs w:val="20"/>
          <w:color w:val="auto"/>
        </w:rPr>
      </w:pPr>
      <w:r>
        <w:rPr>
          <w:rFonts w:ascii="Times New Roman" w:cs="Times New Roman" w:eastAsia="Times New Roman" w:hAnsi="Times New Roman"/>
          <w:sz w:val="16"/>
          <w:szCs w:val="16"/>
          <w:color w:val="auto"/>
        </w:rPr>
        <w:t>FIRST: To the payment of all amounts due to the Trustee or any predecessor trustee pursuant to Section 6.06;</w:t>
      </w:r>
    </w:p>
    <w:p>
      <w:pPr>
        <w:spacing w:after="0" w:line="110" w:lineRule="exact"/>
        <w:rPr>
          <w:sz w:val="20"/>
          <w:szCs w:val="20"/>
          <w:color w:val="auto"/>
        </w:rPr>
      </w:pPr>
    </w:p>
    <w:p>
      <w:pPr>
        <w:ind w:left="1340" w:right="1439" w:firstLine="486"/>
        <w:spacing w:after="0" w:line="272" w:lineRule="auto"/>
        <w:rPr>
          <w:sz w:val="20"/>
          <w:szCs w:val="20"/>
          <w:color w:val="auto"/>
        </w:rPr>
      </w:pPr>
      <w:r>
        <w:rPr>
          <w:rFonts w:ascii="Times New Roman" w:cs="Times New Roman" w:eastAsia="Times New Roman" w:hAnsi="Times New Roman"/>
          <w:sz w:val="16"/>
          <w:szCs w:val="16"/>
          <w:color w:val="auto"/>
        </w:rPr>
        <w:t>SECOND: In case the principal of the Securities of such series in respect of which moneys have been collected shall not have become and be then due and payable, to the payment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6" w:name="page147"/>
    <w:bookmarkEnd w:id="146"/>
    <w:p>
      <w:pPr>
        <w:ind w:left="1340" w:right="1379"/>
        <w:spacing w:after="0" w:line="244" w:lineRule="auto"/>
        <w:rPr>
          <w:sz w:val="20"/>
          <w:szCs w:val="20"/>
          <w:color w:val="auto"/>
        </w:rPr>
      </w:pPr>
      <w:r>
        <w:rPr>
          <w:rFonts w:ascii="Times New Roman" w:cs="Times New Roman" w:eastAsia="Times New Roman" w:hAnsi="Times New Roman"/>
          <w:sz w:val="16"/>
          <w:szCs w:val="16"/>
          <w:color w:val="auto"/>
        </w:rPr>
        <w:t>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34"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33" w:lineRule="exact"/>
        <w:rPr>
          <w:sz w:val="20"/>
          <w:szCs w:val="20"/>
          <w:color w:val="auto"/>
        </w:rPr>
      </w:pPr>
    </w:p>
    <w:p>
      <w:pPr>
        <w:ind w:left="1340" w:right="1699" w:firstLine="486"/>
        <w:spacing w:after="0" w:line="272" w:lineRule="auto"/>
        <w:rPr>
          <w:sz w:val="20"/>
          <w:szCs w:val="20"/>
          <w:color w:val="auto"/>
        </w:rPr>
      </w:pPr>
      <w:r>
        <w:rPr>
          <w:rFonts w:ascii="Times New Roman" w:cs="Times New Roman" w:eastAsia="Times New Roman" w:hAnsi="Times New Roman"/>
          <w:sz w:val="16"/>
          <w:szCs w:val="16"/>
          <w:color w:val="auto"/>
        </w:rPr>
        <w:t>FOURTH: To the payment of the remainder, if any, to the Issuer or any other Person lawfully entitled thereto.</w:t>
      </w:r>
    </w:p>
    <w:p>
      <w:pPr>
        <w:spacing w:after="0" w:line="108" w:lineRule="exact"/>
        <w:rPr>
          <w:sz w:val="20"/>
          <w:szCs w:val="20"/>
          <w:color w:val="auto"/>
        </w:rPr>
      </w:pPr>
    </w:p>
    <w:p>
      <w:pPr>
        <w:ind w:left="1340" w:right="149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i w:val="1"/>
          <w:iCs w:val="1"/>
          <w:color w:val="auto"/>
        </w:rPr>
        <w:t>Suits for Enforcement</w:t>
      </w:r>
      <w:r>
        <w:rPr>
          <w:rFonts w:ascii="Times New Roman" w:cs="Times New Roman" w:eastAsia="Times New Roman" w:hAnsi="Times New Roman"/>
          <w:sz w:val="16"/>
          <w:szCs w:val="16"/>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29"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5.05 </w:t>
      </w:r>
      <w:r>
        <w:rPr>
          <w:rFonts w:ascii="Times New Roman" w:cs="Times New Roman" w:eastAsia="Times New Roman" w:hAnsi="Times New Roman"/>
          <w:sz w:val="16"/>
          <w:szCs w:val="16"/>
          <w:i w:val="1"/>
          <w:iCs w:val="1"/>
          <w:color w:val="auto"/>
        </w:rPr>
        <w:t>Restoration of Rights on Abandonment of Proceedings</w:t>
      </w:r>
      <w:r>
        <w:rPr>
          <w:rFonts w:ascii="Times New Roman" w:cs="Times New Roman" w:eastAsia="Times New Roman" w:hAnsi="Times New Roman"/>
          <w:sz w:val="16"/>
          <w:szCs w:val="16"/>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29"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i w:val="1"/>
          <w:iCs w:val="1"/>
          <w:color w:val="auto"/>
        </w:rPr>
        <w:t>Limitations on Suits by Securityholders</w:t>
      </w:r>
      <w:r>
        <w:rPr>
          <w:rFonts w:ascii="Times New Roman" w:cs="Times New Roman" w:eastAsia="Times New Roman" w:hAnsi="Times New Roman"/>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7" w:name="page148"/>
    <w:bookmarkEnd w:id="147"/>
    <w:p>
      <w:pPr>
        <w:ind w:left="1340" w:right="1419"/>
        <w:spacing w:after="0"/>
        <w:rPr>
          <w:sz w:val="20"/>
          <w:szCs w:val="20"/>
          <w:color w:val="auto"/>
        </w:rPr>
      </w:pPr>
      <w:r>
        <w:rPr>
          <w:rFonts w:ascii="Times New Roman" w:cs="Times New Roman" w:eastAsia="Times New Roman" w:hAnsi="Times New Roman"/>
          <w:sz w:val="16"/>
          <w:szCs w:val="16"/>
          <w:color w:val="auto"/>
        </w:rPr>
        <w:t>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318"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i w:val="1"/>
          <w:iCs w:val="1"/>
          <w:color w:val="auto"/>
        </w:rPr>
        <w:t>Unconditional Right of Securityholders to Institute Certain Suits</w:t>
      </w:r>
      <w:r>
        <w:rPr>
          <w:rFonts w:ascii="Times New Roman" w:cs="Times New Roman" w:eastAsia="Times New Roman" w:hAnsi="Times New Roman"/>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36" w:lineRule="exact"/>
        <w:rPr>
          <w:sz w:val="20"/>
          <w:szCs w:val="20"/>
          <w:color w:val="auto"/>
        </w:rPr>
      </w:pPr>
    </w:p>
    <w:p>
      <w:pPr>
        <w:ind w:left="1340" w:right="141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i w:val="1"/>
          <w:iCs w:val="1"/>
          <w:color w:val="auto"/>
        </w:rPr>
        <w:t>Powers and Remedies Cumulative; Delay or Omission Not Waiver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Except as provided in Section 5.06, no right or remedy herein conferred upon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33" w:lineRule="exact"/>
        <w:rPr>
          <w:sz w:val="20"/>
          <w:szCs w:val="20"/>
          <w:color w:val="auto"/>
        </w:rPr>
      </w:pPr>
    </w:p>
    <w:p>
      <w:pPr>
        <w:jc w:val="both"/>
        <w:ind w:left="1340" w:right="1439" w:firstLine="486"/>
        <w:spacing w:after="0" w:line="249" w:lineRule="auto"/>
        <w:rPr>
          <w:sz w:val="20"/>
          <w:szCs w:val="20"/>
          <w:color w:val="auto"/>
        </w:rPr>
      </w:pPr>
      <w:r>
        <w:rPr>
          <w:rFonts w:ascii="Times New Roman" w:cs="Times New Roman" w:eastAsia="Times New Roman" w:hAnsi="Times New Roman"/>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8" w:name="page149"/>
    <w:bookmarkEnd w:id="148"/>
    <w:p>
      <w:pPr>
        <w:jc w:val="both"/>
        <w:ind w:left="1340" w:right="1459"/>
        <w:spacing w:after="0" w:line="272" w:lineRule="auto"/>
        <w:rPr>
          <w:sz w:val="20"/>
          <w:szCs w:val="20"/>
          <w:color w:val="auto"/>
        </w:rPr>
      </w:pPr>
      <w:r>
        <w:rPr>
          <w:rFonts w:ascii="Times New Roman" w:cs="Times New Roman" w:eastAsia="Times New Roman" w:hAnsi="Times New Roman"/>
          <w:sz w:val="16"/>
          <w:szCs w:val="16"/>
          <w:color w:val="auto"/>
        </w:rPr>
        <w:t>Indenture or by law to the Trustee or to the Holders of Securities may be exercised from time to time, and as often as shall be deemed expedient, by the Trustee or by the Holders of Securities.</w:t>
      </w:r>
    </w:p>
    <w:p>
      <w:pPr>
        <w:spacing w:after="0" w:line="10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i w:val="1"/>
          <w:iCs w:val="1"/>
          <w:color w:val="auto"/>
        </w:rPr>
        <w:t>Control by Holders of Securities</w:t>
      </w:r>
      <w:r>
        <w:rPr>
          <w:rFonts w:ascii="Times New Roman" w:cs="Times New Roman" w:eastAsia="Times New Roman" w:hAnsi="Times New Roman"/>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direction shall not be otherwise than in accordance with law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36"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Nothing in this Indenture shall impair the right of the Trustee in its discretion to take any action deemed proper by the Trustee and which is not inconsistent with such direction or directions by Securityholders.</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i w:val="1"/>
          <w:iCs w:val="1"/>
          <w:color w:val="auto"/>
        </w:rPr>
        <w:t>Waiver of Past Defaults</w:t>
      </w:r>
      <w:r>
        <w:rPr>
          <w:rFonts w:ascii="Times New Roman" w:cs="Times New Roman" w:eastAsia="Times New Roman" w:hAnsi="Times New Roman"/>
          <w:sz w:val="16"/>
          <w:szCs w:val="16"/>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39"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i w:val="1"/>
          <w:iCs w:val="1"/>
          <w:color w:val="auto"/>
        </w:rPr>
        <w:t>Trustee to Give Notice of Default</w:t>
      </w:r>
      <w:r>
        <w:rPr>
          <w:rFonts w:ascii="Times New Roman" w:cs="Times New Roman" w:eastAsia="Times New Roman" w:hAnsi="Times New Roman"/>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 w:cs="Times New Roman" w:eastAsia="Times New Roman" w:hAnsi="Times New Roman"/>
          <w:sz w:val="16"/>
          <w:szCs w:val="16"/>
          <w:b w:val="1"/>
          <w:bCs w:val="1"/>
          <w:color w:val="auto"/>
        </w:rPr>
        <w:t>defaults</w:t>
      </w:r>
      <w:r>
        <w:rPr>
          <w:rFonts w:ascii="Times New Roman" w:cs="Times New Roman" w:eastAsia="Times New Roman" w:hAnsi="Times New Roman"/>
          <w:sz w:val="16"/>
          <w:szCs w:val="16"/>
          <w:color w:val="auto"/>
        </w:rPr>
        <w:t xml:space="preserve">” for the purpose of this Section being hereby defined to mean any event or condition which is, or with notice or lapse of time or both would become, an Event of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except in the case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9" w:name="page150"/>
    <w:bookmarkEnd w:id="149"/>
    <w:p>
      <w:pPr>
        <w:ind w:left="1340" w:right="1439"/>
        <w:spacing w:after="0" w:line="244" w:lineRule="auto"/>
        <w:rPr>
          <w:sz w:val="20"/>
          <w:szCs w:val="20"/>
          <w:color w:val="auto"/>
        </w:rPr>
      </w:pPr>
      <w:r>
        <w:rPr>
          <w:rFonts w:ascii="Times New Roman" w:cs="Times New Roman" w:eastAsia="Times New Roman" w:hAnsi="Times New Roman"/>
          <w:sz w:val="16"/>
          <w:szCs w:val="16"/>
          <w:color w:val="auto"/>
        </w:rPr>
        <w:t>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32"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i w:val="1"/>
          <w:iCs w:val="1"/>
          <w:color w:val="auto"/>
        </w:rPr>
        <w:t>Right of Court to Require Filing of Undertaking to Pay Costs</w:t>
      </w:r>
      <w:r>
        <w:rPr>
          <w:rFonts w:ascii="Times New Roman" w:cs="Times New Roman" w:eastAsia="Times New Roman" w:hAnsi="Times New Roman"/>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6</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TRUSTEE</w:t>
      </w:r>
    </w:p>
    <w:p>
      <w:pPr>
        <w:spacing w:after="0" w:line="140"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Duties and Responsibilities of the Trustee; During Default; Prior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With respect to the Holders of any series of Securities issued hereunder, the Trustee,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318" w:lineRule="exact"/>
        <w:rPr>
          <w:sz w:val="20"/>
          <w:szCs w:val="20"/>
          <w:color w:val="auto"/>
        </w:rPr>
      </w:pPr>
    </w:p>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negligent action, its own negligent failure to act or its own willful misconduct.</w:t>
      </w:r>
    </w:p>
    <w:p>
      <w:pPr>
        <w:spacing w:after="0" w:line="108" w:lineRule="exact"/>
        <w:rPr>
          <w:sz w:val="20"/>
          <w:szCs w:val="20"/>
          <w:color w:val="auto"/>
        </w:rPr>
      </w:pPr>
    </w:p>
    <w:p>
      <w:pPr>
        <w:ind w:left="1340" w:right="159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Certain Rights of the Trustee.</w:t>
      </w:r>
      <w:r>
        <w:rPr>
          <w:rFonts w:ascii="Times New Roman" w:cs="Times New Roman" w:eastAsia="Times New Roman" w:hAnsi="Times New Roman"/>
          <w:sz w:val="16"/>
          <w:szCs w:val="16"/>
          <w:color w:val="auto"/>
        </w:rPr>
        <w:t xml:space="preserve"> In furtherance of and subject to the Trust Indenture Act of 1939 and subject to Section 6.01:</w:t>
      </w:r>
    </w:p>
    <w:p>
      <w:pPr>
        <w:spacing w:after="0" w:line="109" w:lineRule="exact"/>
        <w:rPr>
          <w:sz w:val="20"/>
          <w:szCs w:val="20"/>
          <w:color w:val="auto"/>
        </w:rPr>
      </w:pPr>
    </w:p>
    <w:p>
      <w:pPr>
        <w:ind w:left="1340" w:right="1439" w:firstLine="976"/>
        <w:spacing w:after="0" w:line="246"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0" w:name="page151"/>
    <w:bookmarkEnd w:id="150"/>
    <w:p>
      <w:pPr>
        <w:ind w:left="1340" w:right="1439"/>
        <w:spacing w:after="0" w:line="272" w:lineRule="auto"/>
        <w:rPr>
          <w:sz w:val="20"/>
          <w:szCs w:val="20"/>
          <w:color w:val="auto"/>
        </w:rPr>
      </w:pPr>
      <w:r>
        <w:rPr>
          <w:rFonts w:ascii="Times New Roman" w:cs="Times New Roman" w:eastAsia="Times New Roman" w:hAnsi="Times New Roman"/>
          <w:sz w:val="16"/>
          <w:szCs w:val="16"/>
          <w:color w:val="auto"/>
        </w:rPr>
        <w:t>the Trustee shall be under a duty to examine the same to determine whether or not they conform to the requirements of this Indenture;</w:t>
      </w:r>
    </w:p>
    <w:p>
      <w:pPr>
        <w:spacing w:after="0" w:line="110" w:lineRule="exact"/>
        <w:rPr>
          <w:sz w:val="20"/>
          <w:szCs w:val="20"/>
          <w:color w:val="auto"/>
        </w:rPr>
      </w:pPr>
    </w:p>
    <w:p>
      <w:pPr>
        <w:ind w:left="1340" w:right="1359" w:firstLine="976"/>
        <w:spacing w:after="0" w:line="255"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46"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6"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6"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9"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27" w:lineRule="exact"/>
        <w:rPr>
          <w:rFonts w:ascii="Times New Roman" w:cs="Times New Roman" w:eastAsia="Times New Roman" w:hAnsi="Times New Roman"/>
          <w:sz w:val="16"/>
          <w:szCs w:val="16"/>
          <w:color w:val="auto"/>
        </w:rPr>
      </w:pPr>
    </w:p>
    <w:p>
      <w:pPr>
        <w:jc w:val="both"/>
        <w:ind w:left="1340" w:right="1399" w:firstLine="976"/>
        <w:spacing w:after="0" w:line="249"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7" w:lineRule="exact"/>
        <w:rPr>
          <w:rFonts w:ascii="Times New Roman" w:cs="Times New Roman" w:eastAsia="Times New Roman" w:hAnsi="Times New Roman"/>
          <w:sz w:val="16"/>
          <w:szCs w:val="16"/>
          <w:color w:val="auto"/>
        </w:rPr>
      </w:pPr>
    </w:p>
    <w:p>
      <w:pPr>
        <w:ind w:left="1340" w:right="1599" w:firstLine="976"/>
        <w:spacing w:after="0" w:line="246"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130" w:lineRule="exact"/>
        <w:rPr>
          <w:rFonts w:ascii="Times New Roman" w:cs="Times New Roman" w:eastAsia="Times New Roman" w:hAnsi="Times New Roman"/>
          <w:sz w:val="16"/>
          <w:szCs w:val="16"/>
          <w:color w:val="auto"/>
        </w:rPr>
      </w:pPr>
    </w:p>
    <w:p>
      <w:pPr>
        <w:ind w:left="1340" w:right="1379" w:firstLine="976"/>
        <w:spacing w:after="0" w:line="255"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or omitted by it in good faith and believed by it to be authorized or within the discretion, rights or powers conferred upon it by this Indenture;</w:t>
      </w:r>
    </w:p>
    <w:p>
      <w:pPr>
        <w:spacing w:after="0" w:line="122" w:lineRule="exact"/>
        <w:rPr>
          <w:rFonts w:ascii="Times New Roman" w:cs="Times New Roman" w:eastAsia="Times New Roman" w:hAnsi="Times New Roman"/>
          <w:sz w:val="16"/>
          <w:szCs w:val="16"/>
          <w:color w:val="auto"/>
        </w:rPr>
      </w:pPr>
    </w:p>
    <w:p>
      <w:pPr>
        <w:ind w:left="1340" w:right="1419" w:firstLine="976"/>
        <w:spacing w:after="0" w:line="272"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occurrence of an Event of Default hereunder and after the curing or waiving of all Events of Default, the Trustee shall not be bound to make 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1" w:name="page152"/>
    <w:bookmarkEnd w:id="151"/>
    <w:p>
      <w:pPr>
        <w:ind w:left="1340" w:right="1419"/>
        <w:spacing w:after="0" w:line="241" w:lineRule="auto"/>
        <w:rPr>
          <w:sz w:val="20"/>
          <w:szCs w:val="20"/>
          <w:color w:val="auto"/>
        </w:rPr>
      </w:pPr>
      <w:r>
        <w:rPr>
          <w:rFonts w:ascii="Times New Roman" w:cs="Times New Roman" w:eastAsia="Times New Roman" w:hAnsi="Times New Roman"/>
          <w:sz w:val="16"/>
          <w:szCs w:val="16"/>
          <w:color w:val="auto"/>
        </w:rPr>
        <w:t xml:space="preserve">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36" w:lineRule="exact"/>
        <w:rPr>
          <w:sz w:val="20"/>
          <w:szCs w:val="20"/>
          <w:color w:val="auto"/>
        </w:rPr>
      </w:pPr>
    </w:p>
    <w:p>
      <w:pPr>
        <w:ind w:left="1340" w:right="1459" w:firstLine="976"/>
        <w:spacing w:after="0" w:line="249" w:lineRule="auto"/>
        <w:tabs>
          <w:tab w:leader="none" w:pos="2637"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26"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6.03 </w:t>
      </w:r>
      <w:r>
        <w:rPr>
          <w:rFonts w:ascii="Times New Roman" w:cs="Times New Roman" w:eastAsia="Times New Roman" w:hAnsi="Times New Roman"/>
          <w:sz w:val="16"/>
          <w:szCs w:val="16"/>
          <w:i w:val="1"/>
          <w:iCs w:val="1"/>
          <w:color w:val="auto"/>
        </w:rPr>
        <w:t>Trustee Not Responsible for Recitals, Disposition of Securities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Application of Proceeds Thereof. </w:t>
      </w:r>
      <w:r>
        <w:rPr>
          <w:rFonts w:ascii="Times New Roman" w:cs="Times New Roman" w:eastAsia="Times New Roman" w:hAnsi="Times New Roman"/>
          <w:sz w:val="16"/>
          <w:szCs w:val="16"/>
          <w:color w:val="auto"/>
        </w:rPr>
        <w:t>The recitals contained herein and in the Securities, except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29" w:lineRule="exact"/>
        <w:rPr>
          <w:sz w:val="20"/>
          <w:szCs w:val="20"/>
          <w:color w:val="auto"/>
        </w:rPr>
      </w:pPr>
    </w:p>
    <w:p>
      <w:pPr>
        <w:ind w:left="1340" w:right="141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Trustee and Agents May Hold Securities; Collections, Etc.</w:t>
      </w:r>
      <w:r>
        <w:rPr>
          <w:rFonts w:ascii="Times New Roman" w:cs="Times New Roman" w:eastAsia="Times New Roman" w:hAnsi="Times New Roman"/>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29" w:lineRule="exact"/>
        <w:rPr>
          <w:sz w:val="20"/>
          <w:szCs w:val="20"/>
          <w:color w:val="auto"/>
        </w:rPr>
      </w:pPr>
    </w:p>
    <w:p>
      <w:pPr>
        <w:ind w:left="1340" w:right="13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Moneys Held by Trustee.</w:t>
      </w:r>
      <w:r>
        <w:rPr>
          <w:rFonts w:ascii="Times New Roman" w:cs="Times New Roman" w:eastAsia="Times New Roman" w:hAnsi="Times New Roman"/>
          <w:sz w:val="16"/>
          <w:szCs w:val="16"/>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29" w:lineRule="exact"/>
        <w:rPr>
          <w:sz w:val="20"/>
          <w:szCs w:val="20"/>
          <w:color w:val="auto"/>
        </w:rPr>
      </w:pPr>
    </w:p>
    <w:p>
      <w:pPr>
        <w:ind w:left="1340" w:right="141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Compensation and Indemnification of Trustee and Its Prior Claim.</w:t>
      </w:r>
      <w:r>
        <w:rPr>
          <w:rFonts w:ascii="Times New Roman" w:cs="Times New Roman" w:eastAsia="Times New Roman" w:hAnsi="Times New Roman"/>
          <w:sz w:val="16"/>
          <w:szCs w:val="16"/>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2" w:name="page153"/>
    <w:bookmarkEnd w:id="152"/>
    <w:p>
      <w:pPr>
        <w:ind w:left="1340" w:right="1359"/>
        <w:spacing w:after="0"/>
        <w:rPr>
          <w:sz w:val="20"/>
          <w:szCs w:val="20"/>
          <w:color w:val="auto"/>
        </w:rPr>
      </w:pPr>
      <w:r>
        <w:rPr>
          <w:rFonts w:ascii="Times New Roman" w:cs="Times New Roman" w:eastAsia="Times New Roman" w:hAnsi="Times New Roman"/>
          <w:sz w:val="16"/>
          <w:szCs w:val="16"/>
          <w:color w:val="auto"/>
        </w:rPr>
        <w:t>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37"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Right of Trustee to Rely on Officer’s Certificate, Etc.</w:t>
      </w:r>
      <w:r>
        <w:rPr>
          <w:rFonts w:ascii="Times New Roman" w:cs="Times New Roman" w:eastAsia="Times New Roman" w:hAnsi="Times New Roman"/>
          <w:sz w:val="16"/>
          <w:szCs w:val="16"/>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34" w:lineRule="exact"/>
        <w:rPr>
          <w:sz w:val="20"/>
          <w:szCs w:val="20"/>
          <w:color w:val="auto"/>
        </w:rPr>
      </w:pPr>
    </w:p>
    <w:p>
      <w:pPr>
        <w:jc w:val="both"/>
        <w:ind w:left="1340" w:right="149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Disqualification; Conflicting Interests.</w:t>
      </w:r>
      <w:r>
        <w:rPr>
          <w:rFonts w:ascii="Times New Roman" w:cs="Times New Roman" w:eastAsia="Times New Roman" w:hAnsi="Times New Roman"/>
          <w:sz w:val="16"/>
          <w:szCs w:val="16"/>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25"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6.09 </w:t>
      </w:r>
      <w:r>
        <w:rPr>
          <w:rFonts w:ascii="Times New Roman" w:cs="Times New Roman" w:eastAsia="Times New Roman" w:hAnsi="Times New Roman"/>
          <w:sz w:val="16"/>
          <w:szCs w:val="16"/>
          <w:i w:val="1"/>
          <w:iCs w:val="1"/>
          <w:color w:val="auto"/>
        </w:rPr>
        <w:t>Persons Eligible for Appointment as Trustee.</w:t>
      </w:r>
      <w:r>
        <w:rPr>
          <w:rFonts w:ascii="Times New Roman" w:cs="Times New Roman" w:eastAsia="Times New Roman" w:hAnsi="Times New Roman"/>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31"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Resignation and Removal; Appointment of Successor Trustee.</w:t>
      </w:r>
      <w:r>
        <w:rPr>
          <w:rFonts w:ascii="Times New Roman" w:cs="Times New Roman" w:eastAsia="Times New Roman" w:hAnsi="Times New Roman"/>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53" w:name="page154"/>
    <w:bookmarkEnd w:id="153"/>
    <w:p>
      <w:pPr>
        <w:ind w:left="1340" w:right="1379"/>
        <w:spacing w:after="0" w:line="242" w:lineRule="auto"/>
        <w:rPr>
          <w:sz w:val="20"/>
          <w:szCs w:val="20"/>
          <w:color w:val="auto"/>
        </w:rPr>
      </w:pPr>
      <w:r>
        <w:rPr>
          <w:rFonts w:ascii="Times New Roman" w:cs="Times New Roman" w:eastAsia="Times New Roman" w:hAnsi="Times New Roman"/>
          <w:sz w:val="16"/>
          <w:szCs w:val="16"/>
          <w:color w:val="auto"/>
        </w:rPr>
        <w:t>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37" w:lineRule="exact"/>
        <w:rPr>
          <w:sz w:val="20"/>
          <w:szCs w:val="20"/>
          <w:color w:val="auto"/>
        </w:rPr>
      </w:pPr>
    </w:p>
    <w:p>
      <w:pPr>
        <w:ind w:left="2640" w:hanging="324"/>
        <w:spacing w:after="0"/>
        <w:tabs>
          <w:tab w:leader="none" w:pos="26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49" w:lineRule="auto"/>
        <w:tabs>
          <w:tab w:leader="none" w:pos="3123"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27" w:lineRule="exact"/>
        <w:rPr>
          <w:rFonts w:ascii="Times New Roman" w:cs="Times New Roman" w:eastAsia="Times New Roman" w:hAnsi="Times New Roman"/>
          <w:sz w:val="16"/>
          <w:szCs w:val="16"/>
          <w:color w:val="auto"/>
        </w:rPr>
      </w:pPr>
    </w:p>
    <w:p>
      <w:pPr>
        <w:ind w:left="1340" w:right="1739" w:firstLine="1462"/>
        <w:spacing w:after="0" w:line="255" w:lineRule="auto"/>
        <w:tabs>
          <w:tab w:leader="none" w:pos="3123"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22" w:lineRule="exact"/>
        <w:rPr>
          <w:rFonts w:ascii="Times New Roman" w:cs="Times New Roman" w:eastAsia="Times New Roman" w:hAnsi="Times New Roman"/>
          <w:sz w:val="16"/>
          <w:szCs w:val="16"/>
          <w:color w:val="auto"/>
        </w:rPr>
      </w:pPr>
    </w:p>
    <w:p>
      <w:pPr>
        <w:ind w:left="1340" w:right="1439" w:firstLine="1462"/>
        <w:spacing w:after="0" w:line="246" w:lineRule="auto"/>
        <w:tabs>
          <w:tab w:leader="none" w:pos="3123"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31" w:lineRule="exact"/>
        <w:rPr>
          <w:sz w:val="20"/>
          <w:szCs w:val="20"/>
          <w:color w:val="auto"/>
        </w:rPr>
      </w:pPr>
    </w:p>
    <w:p>
      <w:pPr>
        <w:ind w:left="1340" w:right="1459"/>
        <w:spacing w:after="0" w:line="241" w:lineRule="auto"/>
        <w:rPr>
          <w:sz w:val="20"/>
          <w:szCs w:val="20"/>
          <w:color w:val="auto"/>
        </w:rPr>
      </w:pPr>
      <w:r>
        <w:rPr>
          <w:rFonts w:ascii="Times New Roman" w:cs="Times New Roman" w:eastAsia="Times New Roman" w:hAnsi="Times New Roman"/>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38" w:lineRule="exact"/>
        <w:rPr>
          <w:sz w:val="20"/>
          <w:szCs w:val="20"/>
          <w:color w:val="auto"/>
        </w:rPr>
      </w:pPr>
    </w:p>
    <w:p>
      <w:pPr>
        <w:ind w:left="1340" w:right="1359" w:firstLine="976"/>
        <w:spacing w:after="0" w:line="244"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33" w:lineRule="exact"/>
        <w:rPr>
          <w:rFonts w:ascii="Times New Roman" w:cs="Times New Roman" w:eastAsia="Times New Roman" w:hAnsi="Times New Roman"/>
          <w:sz w:val="16"/>
          <w:szCs w:val="16"/>
          <w:color w:val="auto"/>
        </w:rPr>
      </w:pPr>
    </w:p>
    <w:p>
      <w:pPr>
        <w:ind w:left="1340" w:right="1419" w:firstLine="976"/>
        <w:spacing w:after="0" w:line="272"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resignation or removal of the Trustee with respect to any series and any appointment of a successor trustee with respect to such series pursuant to any of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4" w:name="page155"/>
    <w:bookmarkEnd w:id="154"/>
    <w:p>
      <w:pPr>
        <w:ind w:left="1340" w:right="1619"/>
        <w:spacing w:after="0" w:line="272" w:lineRule="auto"/>
        <w:rPr>
          <w:sz w:val="20"/>
          <w:szCs w:val="20"/>
          <w:color w:val="auto"/>
        </w:rPr>
      </w:pPr>
      <w:r>
        <w:rPr>
          <w:rFonts w:ascii="Times New Roman" w:cs="Times New Roman" w:eastAsia="Times New Roman" w:hAnsi="Times New Roman"/>
          <w:sz w:val="16"/>
          <w:szCs w:val="16"/>
          <w:color w:val="auto"/>
        </w:rPr>
        <w:t>provisions of this Section 6.10 shall become effective upon acceptance of appointment by the successor trustee as provided in Section 6.11.</w:t>
      </w:r>
    </w:p>
    <w:p>
      <w:pPr>
        <w:spacing w:after="0" w:line="108"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Acceptance of Appointment by Successor Trustee.</w:t>
      </w:r>
      <w:r>
        <w:rPr>
          <w:rFonts w:ascii="Times New Roman" w:cs="Times New Roman" w:eastAsia="Times New Roman" w:hAnsi="Times New Roman"/>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38"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36" w:lineRule="exact"/>
        <w:rPr>
          <w:sz w:val="20"/>
          <w:szCs w:val="20"/>
          <w:color w:val="auto"/>
        </w:rPr>
      </w:pPr>
    </w:p>
    <w:p>
      <w:pPr>
        <w:ind w:left="1340" w:right="1359" w:firstLine="486"/>
        <w:spacing w:after="0" w:line="249" w:lineRule="auto"/>
        <w:rPr>
          <w:sz w:val="20"/>
          <w:szCs w:val="20"/>
          <w:color w:val="auto"/>
        </w:rPr>
      </w:pPr>
      <w:r>
        <w:rPr>
          <w:rFonts w:ascii="Times New Roman" w:cs="Times New Roman" w:eastAsia="Times New Roman" w:hAnsi="Times New Roman"/>
          <w:sz w:val="16"/>
          <w:szCs w:val="16"/>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2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Upon acceptance of appointment by any successor trustee as provided in this Section</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6.11, the Issuer shall deliver notice thereof to the Holders of Securities of each series affected, by</w:t>
      </w:r>
    </w:p>
    <w:p>
      <w:pPr>
        <w:ind w:left="1340"/>
        <w:spacing w:after="0" w:line="237" w:lineRule="auto"/>
        <w:rPr>
          <w:sz w:val="20"/>
          <w:szCs w:val="20"/>
          <w:color w:val="auto"/>
        </w:rPr>
      </w:pPr>
      <w:r>
        <w:rPr>
          <w:rFonts w:ascii="Times New Roman" w:cs="Times New Roman" w:eastAsia="Times New Roman" w:hAnsi="Times New Roman"/>
          <w:sz w:val="16"/>
          <w:szCs w:val="16"/>
          <w:color w:val="auto"/>
        </w:rPr>
        <w:t>delivering such notice to such Holders at their addresses as they shall appear on the Security</w:t>
      </w:r>
    </w:p>
    <w:p>
      <w:pPr>
        <w:ind w:left="1340"/>
        <w:spacing w:after="0"/>
        <w:rPr>
          <w:sz w:val="20"/>
          <w:szCs w:val="20"/>
          <w:color w:val="auto"/>
        </w:rPr>
      </w:pPr>
      <w:r>
        <w:rPr>
          <w:rFonts w:ascii="Times New Roman" w:cs="Times New Roman" w:eastAsia="Times New Roman" w:hAnsi="Times New Roman"/>
          <w:sz w:val="16"/>
          <w:szCs w:val="16"/>
          <w:color w:val="auto"/>
        </w:rPr>
        <w:t>register. If the acceptance of appointment is substantially contemporaneous with the resignation,</w:t>
      </w:r>
    </w:p>
    <w:p>
      <w:pPr>
        <w:ind w:left="1340"/>
        <w:spacing w:after="0" w:line="237" w:lineRule="auto"/>
        <w:rPr>
          <w:sz w:val="20"/>
          <w:szCs w:val="20"/>
          <w:color w:val="auto"/>
        </w:rPr>
      </w:pPr>
      <w:r>
        <w:rPr>
          <w:rFonts w:ascii="Times New Roman" w:cs="Times New Roman" w:eastAsia="Times New Roman" w:hAnsi="Times New Roman"/>
          <w:sz w:val="16"/>
          <w:szCs w:val="16"/>
          <w:color w:val="auto"/>
        </w:rPr>
        <w:t>then the notice called for by the preceding sentence may be combined with the notice called for</w:t>
      </w:r>
    </w:p>
    <w:p>
      <w:pPr>
        <w:ind w:left="1340"/>
        <w:spacing w:after="0"/>
        <w:rPr>
          <w:sz w:val="20"/>
          <w:szCs w:val="20"/>
          <w:color w:val="auto"/>
        </w:rPr>
      </w:pPr>
      <w:r>
        <w:rPr>
          <w:rFonts w:ascii="Times New Roman" w:cs="Times New Roman" w:eastAsia="Times New Roman" w:hAnsi="Times New Roman"/>
          <w:sz w:val="16"/>
          <w:szCs w:val="16"/>
          <w:color w:val="auto"/>
        </w:rPr>
        <w:t>by Section 6.10. If the Issuer fails to deliver such notice within ten days after acceptance of</w:t>
      </w:r>
    </w:p>
    <w:p>
      <w:pPr>
        <w:ind w:left="1340"/>
        <w:spacing w:after="0" w:line="237" w:lineRule="auto"/>
        <w:rPr>
          <w:sz w:val="20"/>
          <w:szCs w:val="20"/>
          <w:color w:val="auto"/>
        </w:rPr>
      </w:pPr>
      <w:r>
        <w:rPr>
          <w:rFonts w:ascii="Times New Roman" w:cs="Times New Roman" w:eastAsia="Times New Roman" w:hAnsi="Times New Roman"/>
          <w:sz w:val="16"/>
          <w:szCs w:val="16"/>
          <w:color w:val="auto"/>
        </w:rPr>
        <w:t>appointment by the successor trustee, the successor trustee shall cause such notice to be given at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the expense of the Issuer.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55" w:name="page156"/>
    <w:bookmarkEnd w:id="155"/>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i w:val="1"/>
          <w:iCs w:val="1"/>
          <w:color w:val="auto"/>
        </w:rPr>
        <w:t>Merger, Conversion, Consolidation or Succession to Business of Trustee.</w:t>
      </w:r>
      <w:r>
        <w:rPr>
          <w:rFonts w:ascii="Times New Roman" w:cs="Times New Roman" w:eastAsia="Times New Roman" w:hAnsi="Times New Roman"/>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36"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34"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6.13 </w:t>
      </w:r>
      <w:r>
        <w:rPr>
          <w:rFonts w:ascii="Times New Roman" w:cs="Times New Roman" w:eastAsia="Times New Roman" w:hAnsi="Times New Roman"/>
          <w:sz w:val="16"/>
          <w:szCs w:val="16"/>
          <w:i w:val="1"/>
          <w:iCs w:val="1"/>
          <w:color w:val="auto"/>
        </w:rPr>
        <w:t>Preferential Collection of Claims Against the Issuer</w:t>
      </w:r>
      <w:r>
        <w:rPr>
          <w:rFonts w:ascii="Times New Roman" w:cs="Times New Roman" w:eastAsia="Times New Roman" w:hAnsi="Times New Roman"/>
          <w:sz w:val="16"/>
          <w:szCs w:val="16"/>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7</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SECURITYHOLDERS</w:t>
      </w:r>
    </w:p>
    <w:p>
      <w:pPr>
        <w:spacing w:after="0" w:line="140" w:lineRule="exact"/>
        <w:rPr>
          <w:sz w:val="20"/>
          <w:szCs w:val="20"/>
          <w:color w:val="auto"/>
        </w:rPr>
      </w:pPr>
    </w:p>
    <w:p>
      <w:pPr>
        <w:ind w:left="1340" w:right="14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Evidence of Action Taken by Securityholders.</w:t>
      </w:r>
      <w:r>
        <w:rPr>
          <w:rFonts w:ascii="Times New Roman" w:cs="Times New Roman" w:eastAsia="Times New Roman" w:hAnsi="Times New Roman"/>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38"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Proof of Execution of Instruments and of Holding of Securities.</w:t>
      </w:r>
      <w:r>
        <w:rPr>
          <w:rFonts w:ascii="Times New Roman" w:cs="Times New Roman" w:eastAsia="Times New Roman" w:hAnsi="Times New Roman"/>
          <w:sz w:val="16"/>
          <w:szCs w:val="16"/>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56" w:name="page157"/>
    <w:bookmarkEnd w:id="156"/>
    <w:p>
      <w:pPr>
        <w:ind w:left="1340" w:right="1419"/>
        <w:spacing w:after="0" w:line="242" w:lineRule="auto"/>
        <w:rPr>
          <w:sz w:val="20"/>
          <w:szCs w:val="20"/>
          <w:color w:val="auto"/>
        </w:rPr>
      </w:pPr>
      <w:r>
        <w:rPr>
          <w:rFonts w:ascii="Times New Roman" w:cs="Times New Roman" w:eastAsia="Times New Roman" w:hAnsi="Times New Roman"/>
          <w:sz w:val="16"/>
          <w:szCs w:val="16"/>
          <w:color w:val="auto"/>
        </w:rPr>
        <w:t>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35"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Holders to Be Treated as Owners.</w:t>
      </w:r>
      <w:r>
        <w:rPr>
          <w:rFonts w:ascii="Times New Roman" w:cs="Times New Roman" w:eastAsia="Times New Roman" w:hAnsi="Times New Roman"/>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38"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Securities Owned by Issuer Deemed Not Outstanding.</w:t>
      </w:r>
      <w:r>
        <w:rPr>
          <w:rFonts w:ascii="Times New Roman" w:cs="Times New Roman" w:eastAsia="Times New Roman" w:hAnsi="Times New Roman"/>
          <w:sz w:val="16"/>
          <w:szCs w:val="16"/>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34"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Right of Revocation of Action Taken.</w:t>
      </w:r>
      <w:r>
        <w:rPr>
          <w:rFonts w:ascii="Times New Roman" w:cs="Times New Roman" w:eastAsia="Times New Roman" w:hAnsi="Times New Roman"/>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7" w:name="page158"/>
    <w:bookmarkEnd w:id="157"/>
    <w:p>
      <w:pPr>
        <w:ind w:left="1340" w:right="1479"/>
        <w:spacing w:after="0" w:line="244" w:lineRule="auto"/>
        <w:rPr>
          <w:sz w:val="20"/>
          <w:szCs w:val="20"/>
          <w:color w:val="auto"/>
        </w:rPr>
      </w:pPr>
      <w:r>
        <w:rPr>
          <w:rFonts w:ascii="Times New Roman" w:cs="Times New Roman" w:eastAsia="Times New Roman" w:hAnsi="Times New Roman"/>
          <w:sz w:val="16"/>
          <w:szCs w:val="16"/>
          <w:color w:val="auto"/>
        </w:rPr>
        <w:t>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8</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SUPPLEMENTAL INDENTURES</w:t>
      </w:r>
    </w:p>
    <w:p>
      <w:pPr>
        <w:spacing w:after="0" w:line="140"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Supplemental Indentures Without Consent of Securityholders.</w:t>
      </w:r>
      <w:r>
        <w:rPr>
          <w:rFonts w:ascii="Times New Roman" w:cs="Times New Roman" w:eastAsia="Times New Roman" w:hAnsi="Times New Roman"/>
          <w:sz w:val="16"/>
          <w:szCs w:val="16"/>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29" w:lineRule="exact"/>
        <w:rPr>
          <w:sz w:val="20"/>
          <w:szCs w:val="20"/>
          <w:color w:val="auto"/>
        </w:rPr>
      </w:pPr>
    </w:p>
    <w:p>
      <w:pPr>
        <w:ind w:left="1340" w:right="1459" w:firstLine="976"/>
        <w:spacing w:after="0" w:line="272"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convey, transfer, assign, mortgage or pledge to the Trustee as security for the Securities of one or more series any property or assets;</w:t>
      </w:r>
    </w:p>
    <w:p>
      <w:pPr>
        <w:spacing w:after="0" w:line="109" w:lineRule="exact"/>
        <w:rPr>
          <w:rFonts w:ascii="Times New Roman" w:cs="Times New Roman" w:eastAsia="Times New Roman" w:hAnsi="Times New Roman"/>
          <w:sz w:val="16"/>
          <w:szCs w:val="16"/>
          <w:color w:val="auto"/>
        </w:rPr>
      </w:pPr>
    </w:p>
    <w:p>
      <w:pPr>
        <w:ind w:left="1340" w:right="1419" w:firstLine="976"/>
        <w:spacing w:after="0" w:line="255"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72"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the requirements of the Commission in order to effect or maintain the qualification of this Indenture under the Trust Indenture Act of 1939, as amended;</w:t>
      </w:r>
    </w:p>
    <w:p>
      <w:pPr>
        <w:spacing w:after="0" w:line="109" w:lineRule="exact"/>
        <w:rPr>
          <w:rFonts w:ascii="Times New Roman" w:cs="Times New Roman" w:eastAsia="Times New Roman" w:hAnsi="Times New Roman"/>
          <w:sz w:val="16"/>
          <w:szCs w:val="16"/>
          <w:color w:val="auto"/>
        </w:rPr>
      </w:pPr>
    </w:p>
    <w:p>
      <w:pPr>
        <w:ind w:left="1340" w:right="1359" w:firstLine="976"/>
        <w:spacing w:after="0" w:line="241"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33" w:lineRule="exact"/>
        <w:rPr>
          <w:rFonts w:ascii="Times New Roman" w:cs="Times New Roman" w:eastAsia="Times New Roman" w:hAnsi="Times New Roman"/>
          <w:sz w:val="16"/>
          <w:szCs w:val="16"/>
          <w:color w:val="auto"/>
        </w:rPr>
      </w:pPr>
    </w:p>
    <w:p>
      <w:pPr>
        <w:ind w:left="1340" w:right="1479" w:firstLine="976"/>
        <w:spacing w:after="0" w:line="255"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22"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or add for the Securities of one or more series;</w:t>
      </w:r>
    </w:p>
    <w:p>
      <w:pPr>
        <w:spacing w:after="0" w:line="160" w:lineRule="exact"/>
        <w:rPr>
          <w:rFonts w:ascii="Times New Roman" w:cs="Times New Roman" w:eastAsia="Times New Roman" w:hAnsi="Times New Roman"/>
          <w:sz w:val="16"/>
          <w:szCs w:val="16"/>
          <w:color w:val="auto"/>
        </w:rPr>
      </w:pPr>
    </w:p>
    <w:p>
      <w:pPr>
        <w:ind w:left="1340" w:right="1719" w:firstLine="976"/>
        <w:spacing w:after="0" w:line="272"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establish the form or terms of Securities of any series as permitted by Sections 2.01 and 2.03;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8" w:name="page159"/>
    <w:bookmarkEnd w:id="158"/>
    <w:p>
      <w:pPr>
        <w:ind w:left="1340" w:right="1419" w:firstLine="976"/>
        <w:spacing w:after="0" w:line="246" w:lineRule="auto"/>
        <w:tabs>
          <w:tab w:leader="none" w:pos="263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4" w:lineRule="auto"/>
        <w:tabs>
          <w:tab w:leader="none" w:pos="263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33" w:lineRule="exact"/>
        <w:rPr>
          <w:rFonts w:ascii="Times New Roman" w:cs="Times New Roman" w:eastAsia="Times New Roman" w:hAnsi="Times New Roman"/>
          <w:sz w:val="16"/>
          <w:szCs w:val="16"/>
          <w:color w:val="auto"/>
        </w:rPr>
      </w:pPr>
    </w:p>
    <w:p>
      <w:pPr>
        <w:ind w:left="1340" w:right="1399" w:firstLine="976"/>
        <w:spacing w:after="0" w:line="272" w:lineRule="auto"/>
        <w:tabs>
          <w:tab w:leader="none" w:pos="263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to the Securities of any series so long as no Securities of such series are Outstanding; and</w:t>
      </w:r>
    </w:p>
    <w:p>
      <w:pPr>
        <w:spacing w:after="0" w:line="109" w:lineRule="exact"/>
        <w:rPr>
          <w:rFonts w:ascii="Times New Roman" w:cs="Times New Roman" w:eastAsia="Times New Roman" w:hAnsi="Times New Roman"/>
          <w:sz w:val="16"/>
          <w:szCs w:val="16"/>
          <w:color w:val="auto"/>
        </w:rPr>
      </w:pPr>
    </w:p>
    <w:p>
      <w:pPr>
        <w:ind w:left="1340" w:right="1539" w:firstLine="976"/>
        <w:spacing w:after="0" w:line="272" w:lineRule="auto"/>
        <w:tabs>
          <w:tab w:leader="none" w:pos="263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other change that does not adversely affect the interests of the Holders of the Securities in any material respect.</w:t>
      </w:r>
    </w:p>
    <w:p>
      <w:pPr>
        <w:spacing w:after="0" w:line="110" w:lineRule="exact"/>
        <w:rPr>
          <w:sz w:val="20"/>
          <w:szCs w:val="20"/>
          <w:color w:val="auto"/>
        </w:rPr>
      </w:pPr>
    </w:p>
    <w:p>
      <w:pPr>
        <w:ind w:left="1340" w:right="1559" w:firstLine="486"/>
        <w:spacing w:after="0" w:line="244" w:lineRule="auto"/>
        <w:rPr>
          <w:sz w:val="20"/>
          <w:szCs w:val="20"/>
          <w:color w:val="auto"/>
        </w:rPr>
      </w:pPr>
      <w:r>
        <w:rPr>
          <w:rFonts w:ascii="Times New Roman" w:cs="Times New Roman" w:eastAsia="Times New Roman" w:hAnsi="Times New Roman"/>
          <w:sz w:val="16"/>
          <w:szCs w:val="16"/>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34"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Supplemental Indentures With Consent of Securityholders.</w:t>
      </w:r>
      <w:r>
        <w:rPr>
          <w:rFonts w:ascii="Times New Roman" w:cs="Times New Roman" w:eastAsia="Times New Roman" w:hAnsi="Times New Roman"/>
          <w:sz w:val="16"/>
          <w:szCs w:val="16"/>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59" w:name="page160"/>
    <w:bookmarkEnd w:id="159"/>
    <w:p>
      <w:pPr>
        <w:ind w:left="1340" w:right="1359"/>
        <w:spacing w:after="0"/>
        <w:rPr>
          <w:sz w:val="20"/>
          <w:szCs w:val="20"/>
          <w:color w:val="auto"/>
        </w:rPr>
      </w:pPr>
      <w:r>
        <w:rPr>
          <w:rFonts w:ascii="Times New Roman" w:cs="Times New Roman" w:eastAsia="Times New Roman" w:hAnsi="Times New Roman"/>
          <w:sz w:val="16"/>
          <w:szCs w:val="16"/>
          <w:color w:val="auto"/>
        </w:rPr>
        <w:t>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39"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35"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w:t>
      </w:r>
    </w:p>
    <w:p>
      <w:pPr>
        <w:spacing w:after="0" w:line="2" w:lineRule="exact"/>
        <w:rPr>
          <w:sz w:val="20"/>
          <w:szCs w:val="20"/>
          <w:color w:val="auto"/>
        </w:rPr>
      </w:pPr>
    </w:p>
    <w:p>
      <w:pPr>
        <w:ind w:left="1340" w:right="1359"/>
        <w:spacing w:after="0" w:line="241" w:lineRule="auto"/>
        <w:rPr>
          <w:sz w:val="20"/>
          <w:szCs w:val="20"/>
          <w:color w:val="auto"/>
        </w:rPr>
      </w:pPr>
      <w:r>
        <w:rPr>
          <w:rFonts w:ascii="Times New Roman" w:cs="Times New Roman" w:eastAsia="Times New Roman" w:hAnsi="Times New Roman"/>
          <w:sz w:val="16"/>
          <w:szCs w:val="16"/>
          <w:color w:val="auto"/>
        </w:rPr>
        <w:t>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35" w:lineRule="exact"/>
        <w:rPr>
          <w:sz w:val="20"/>
          <w:szCs w:val="20"/>
          <w:color w:val="auto"/>
        </w:rPr>
      </w:pPr>
    </w:p>
    <w:p>
      <w:pPr>
        <w:ind w:left="1340" w:right="1499" w:firstLine="486"/>
        <w:spacing w:after="0" w:line="255" w:lineRule="auto"/>
        <w:rPr>
          <w:sz w:val="20"/>
          <w:szCs w:val="20"/>
          <w:color w:val="auto"/>
        </w:rPr>
      </w:pPr>
      <w:r>
        <w:rPr>
          <w:rFonts w:ascii="Times New Roman" w:cs="Times New Roman" w:eastAsia="Times New Roman" w:hAnsi="Times New Roman"/>
          <w:sz w:val="16"/>
          <w:szCs w:val="16"/>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23"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32" w:lineRule="exact"/>
        <w:rPr>
          <w:sz w:val="20"/>
          <w:szCs w:val="20"/>
          <w:color w:val="auto"/>
        </w:rPr>
      </w:pPr>
    </w:p>
    <w:p>
      <w:pPr>
        <w:ind w:left="1340" w:right="137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Effect of Supplemental Indenture.</w:t>
      </w:r>
      <w:r>
        <w:rPr>
          <w:rFonts w:ascii="Times New Roman" w:cs="Times New Roman" w:eastAsia="Times New Roman" w:hAnsi="Times New Roman"/>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60" w:name="page161"/>
    <w:bookmarkEnd w:id="160"/>
    <w:p>
      <w:pPr>
        <w:ind w:left="1340" w:right="1359"/>
        <w:spacing w:after="0" w:line="255" w:lineRule="auto"/>
        <w:rPr>
          <w:sz w:val="20"/>
          <w:szCs w:val="20"/>
          <w:color w:val="auto"/>
        </w:rPr>
      </w:pPr>
      <w:r>
        <w:rPr>
          <w:rFonts w:ascii="Times New Roman" w:cs="Times New Roman" w:eastAsia="Times New Roman" w:hAnsi="Times New Roman"/>
          <w:sz w:val="16"/>
          <w:szCs w:val="16"/>
          <w:color w:val="auto"/>
        </w:rPr>
        <w:t>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1"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Documents to Be Given to Trustee.</w:t>
      </w:r>
      <w:r>
        <w:rPr>
          <w:rFonts w:ascii="Times New Roman" w:cs="Times New Roman" w:eastAsia="Times New Roman" w:hAnsi="Times New Roman"/>
          <w:sz w:val="16"/>
          <w:szCs w:val="16"/>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Notation on Securities in Respect of Supplemental Indentures.</w:t>
      </w:r>
      <w:r>
        <w:rPr>
          <w:rFonts w:ascii="Times New Roman" w:cs="Times New Roman" w:eastAsia="Times New Roman" w:hAnsi="Times New Roman"/>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9</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CONSOLIDATION, MERGER, SALE OR CONVEYANCE</w:t>
      </w:r>
    </w:p>
    <w:p>
      <w:pPr>
        <w:spacing w:after="0" w:line="140"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Issuer May Consolidate, Etc., on Certain Terms.</w:t>
      </w:r>
      <w:r>
        <w:rPr>
          <w:rFonts w:ascii="Times New Roman" w:cs="Times New Roman" w:eastAsia="Times New Roman" w:hAnsi="Times New Roman"/>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5" w:lineRule="exact"/>
        <w:rPr>
          <w:sz w:val="20"/>
          <w:szCs w:val="20"/>
          <w:color w:val="auto"/>
        </w:rPr>
      </w:pPr>
    </w:p>
    <w:p>
      <w:pPr>
        <w:ind w:left="1340" w:right="1519" w:firstLine="486"/>
        <w:spacing w:after="0" w:line="272" w:lineRule="auto"/>
        <w:rPr>
          <w:sz w:val="20"/>
          <w:szCs w:val="20"/>
          <w:color w:val="auto"/>
        </w:rPr>
      </w:pPr>
      <w:r>
        <w:rPr>
          <w:rFonts w:ascii="Times New Roman" w:cs="Times New Roman" w:eastAsia="Times New Roman" w:hAnsi="Times New Roman"/>
          <w:sz w:val="16"/>
          <w:szCs w:val="16"/>
          <w:color w:val="auto"/>
        </w:rPr>
        <w:t>The restrictions in this Section 9.01 shall not apply to (i) the merger or consolidation of the Issuer with one of its affiliates, if the Board of Directors determines in good faith that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1" w:name="page162"/>
    <w:bookmarkEnd w:id="161"/>
    <w:p>
      <w:pPr>
        <w:ind w:left="1340" w:right="1399"/>
        <w:spacing w:after="0" w:line="255" w:lineRule="auto"/>
        <w:rPr>
          <w:sz w:val="20"/>
          <w:szCs w:val="20"/>
          <w:color w:val="auto"/>
        </w:rPr>
      </w:pPr>
      <w:r>
        <w:rPr>
          <w:rFonts w:ascii="Times New Roman" w:cs="Times New Roman" w:eastAsia="Times New Roman" w:hAnsi="Times New Roman"/>
          <w:sz w:val="16"/>
          <w:szCs w:val="16"/>
          <w:color w:val="auto"/>
        </w:rPr>
        <w:t>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21"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Successor Issuer Substituted.</w:t>
      </w:r>
      <w:r>
        <w:rPr>
          <w:rFonts w:ascii="Times New Roman" w:cs="Times New Roman" w:eastAsia="Times New Roman" w:hAnsi="Times New Roman"/>
          <w:sz w:val="16"/>
          <w:szCs w:val="16"/>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36"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In case of any such consolidation, merger, sale, lease or conveyance, such changes in phraseology and form (but not in substance) may be made in the Securities thereafter to be issued as may be appropriate.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SATISFACTION AND DISCHARGE OF INDENTURE; DEFEASANCE; UNCLAIMED</w:t>
      </w:r>
    </w:p>
    <w:p>
      <w:pPr>
        <w:jc w:val="center"/>
        <w:ind w:right="59"/>
        <w:spacing w:after="0"/>
        <w:rPr>
          <w:sz w:val="20"/>
          <w:szCs w:val="20"/>
          <w:color w:val="auto"/>
        </w:rPr>
      </w:pPr>
      <w:r>
        <w:rPr>
          <w:rFonts w:ascii="Times New Roman" w:cs="Times New Roman" w:eastAsia="Times New Roman" w:hAnsi="Times New Roman"/>
          <w:sz w:val="16"/>
          <w:szCs w:val="16"/>
          <w:color w:val="auto"/>
        </w:rPr>
        <w:t>MONEYS</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Section 10.01 Satisfaction and Discharge of Indenture; Defeasance. (a) If at any time</w:t>
      </w:r>
    </w:p>
    <w:p>
      <w:pPr>
        <w:spacing w:after="0" w:line="160" w:lineRule="exact"/>
        <w:rPr>
          <w:sz w:val="20"/>
          <w:szCs w:val="20"/>
          <w:color w:val="auto"/>
        </w:rPr>
      </w:pPr>
    </w:p>
    <w:p>
      <w:pPr>
        <w:ind w:left="1340" w:right="1479" w:firstLine="1462"/>
        <w:spacing w:after="0" w:line="246" w:lineRule="auto"/>
        <w:tabs>
          <w:tab w:leader="none" w:pos="312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130"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127" w:lineRule="exact"/>
        <w:rPr>
          <w:rFonts w:ascii="Times New Roman" w:cs="Times New Roman" w:eastAsia="Times New Roman" w:hAnsi="Times New Roman"/>
          <w:sz w:val="16"/>
          <w:szCs w:val="16"/>
          <w:color w:val="auto"/>
        </w:rPr>
      </w:pPr>
    </w:p>
    <w:p>
      <w:pPr>
        <w:ind w:left="1340" w:right="1359" w:firstLine="1462"/>
        <w:spacing w:after="0" w:line="249" w:lineRule="auto"/>
        <w:tabs>
          <w:tab w:leader="none" w:pos="312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127" w:lineRule="exact"/>
        <w:rPr>
          <w:rFonts w:ascii="Times New Roman" w:cs="Times New Roman" w:eastAsia="Times New Roman" w:hAnsi="Times New Roman"/>
          <w:sz w:val="16"/>
          <w:szCs w:val="16"/>
          <w:color w:val="auto"/>
        </w:rPr>
      </w:pPr>
    </w:p>
    <w:p>
      <w:pPr>
        <w:ind w:left="1340" w:right="1419" w:firstLine="1948"/>
        <w:spacing w:after="0" w:line="246" w:lineRule="auto"/>
        <w:tabs>
          <w:tab w:leader="none" w:pos="3551"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130" w:lineRule="exact"/>
        <w:rPr>
          <w:rFonts w:ascii="Times New Roman" w:cs="Times New Roman" w:eastAsia="Times New Roman" w:hAnsi="Times New Roman"/>
          <w:sz w:val="16"/>
          <w:szCs w:val="16"/>
          <w:color w:val="auto"/>
        </w:rPr>
      </w:pPr>
    </w:p>
    <w:p>
      <w:pPr>
        <w:ind w:left="3540" w:hanging="252"/>
        <w:spacing w:after="0"/>
        <w:tabs>
          <w:tab w:leader="none" w:pos="354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irrevocably deposited or caused to be</w:t>
      </w:r>
    </w:p>
    <w:p>
      <w:pPr>
        <w:spacing w:after="0" w:line="16"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deposited with the Trustee as trust funds the entire amount (i) in the case of any series of</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2" w:name="page163"/>
    <w:bookmarkEnd w:id="162"/>
    <w:p>
      <w:pPr>
        <w:ind w:left="1340" w:right="1359"/>
        <w:spacing w:after="0" w:line="238" w:lineRule="auto"/>
        <w:rPr>
          <w:sz w:val="20"/>
          <w:szCs w:val="20"/>
          <w:color w:val="auto"/>
        </w:rPr>
      </w:pPr>
      <w:r>
        <w:rPr>
          <w:rFonts w:ascii="Times New Roman" w:cs="Times New Roman" w:eastAsia="Times New Roman" w:hAnsi="Times New Roman"/>
          <w:sz w:val="16"/>
          <w:szCs w:val="16"/>
          <w:color w:val="auto"/>
        </w:rPr>
        <w:t>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59" w:lineRule="exact"/>
        <w:rPr>
          <w:sz w:val="20"/>
          <w:szCs w:val="20"/>
          <w:color w:val="auto"/>
        </w:rPr>
      </w:pPr>
    </w:p>
    <w:p>
      <w:pPr>
        <w:ind w:left="1340" w:right="1459" w:firstLine="976"/>
        <w:spacing w:after="0"/>
        <w:tabs>
          <w:tab w:leader="none" w:pos="263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Times New Roman" w:cs="Times New Roman" w:eastAsia="Times New Roman" w:hAnsi="Times New Roman"/>
          <w:sz w:val="16"/>
          <w:szCs w:val="16"/>
          <w:b w:val="1"/>
          <w:bCs w:val="1"/>
          <w:color w:val="auto"/>
        </w:rPr>
        <w:t>Legal Defeasance</w:t>
      </w:r>
      <w:r>
        <w:rPr>
          <w:rFonts w:ascii="Times New Roman" w:cs="Times New Roman" w:eastAsia="Times New Roman" w:hAnsi="Times New Roman"/>
          <w:sz w:val="16"/>
          <w:szCs w:val="16"/>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3" w:name="page164"/>
    <w:bookmarkEnd w:id="163"/>
    <w:p>
      <w:pPr>
        <w:ind w:left="1340" w:right="1399"/>
        <w:spacing w:after="0" w:line="243" w:lineRule="auto"/>
        <w:rPr>
          <w:sz w:val="20"/>
          <w:szCs w:val="20"/>
          <w:color w:val="auto"/>
        </w:rPr>
      </w:pPr>
      <w:r>
        <w:rPr>
          <w:rFonts w:ascii="Times New Roman" w:cs="Times New Roman" w:eastAsia="Times New Roman" w:hAnsi="Times New Roman"/>
          <w:sz w:val="16"/>
          <w:szCs w:val="16"/>
          <w:color w:val="auto"/>
        </w:rPr>
        <w:t>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35" w:lineRule="exact"/>
        <w:rPr>
          <w:sz w:val="20"/>
          <w:szCs w:val="20"/>
          <w:color w:val="auto"/>
        </w:rPr>
      </w:pPr>
    </w:p>
    <w:p>
      <w:pPr>
        <w:ind w:left="1340" w:right="1399" w:firstLine="976"/>
        <w:spacing w:after="0"/>
        <w:tabs>
          <w:tab w:leader="none" w:pos="2637"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Times New Roman" w:cs="Times New Roman" w:eastAsia="Times New Roman" w:hAnsi="Times New Roman"/>
          <w:sz w:val="16"/>
          <w:szCs w:val="16"/>
          <w:b w:val="1"/>
          <w:bCs w:val="1"/>
          <w:color w:val="auto"/>
        </w:rPr>
        <w:t>Covenant Defeasance</w:t>
      </w:r>
      <w:r>
        <w:rPr>
          <w:rFonts w:ascii="Times New Roman" w:cs="Times New Roman" w:eastAsia="Times New Roman" w:hAnsi="Times New Roman"/>
          <w:sz w:val="16"/>
          <w:szCs w:val="16"/>
          <w:color w:val="auto"/>
        </w:rPr>
        <w:t>”), such discharge to be effective on the date the conditions set forth in clauses (i) through (iii) and</w:t>
      </w:r>
    </w:p>
    <w:p>
      <w:pPr>
        <w:spacing w:after="0" w:line="1" w:lineRule="exact"/>
        <w:rPr>
          <w:rFonts w:ascii="Times New Roman" w:cs="Times New Roman" w:eastAsia="Times New Roman" w:hAnsi="Times New Roman"/>
          <w:sz w:val="16"/>
          <w:szCs w:val="16"/>
          <w:color w:val="auto"/>
        </w:rPr>
      </w:pPr>
    </w:p>
    <w:p>
      <w:pPr>
        <w:ind w:left="1340" w:right="1379" w:firstLine="3"/>
        <w:spacing w:after="0" w:line="238" w:lineRule="auto"/>
        <w:tabs>
          <w:tab w:leader="none" w:pos="156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142" w:lineRule="exact"/>
        <w:rPr>
          <w:rFonts w:ascii="Times New Roman" w:cs="Times New Roman" w:eastAsia="Times New Roman" w:hAnsi="Times New Roman"/>
          <w:sz w:val="16"/>
          <w:szCs w:val="16"/>
          <w:color w:val="auto"/>
        </w:rPr>
      </w:pPr>
    </w:p>
    <w:p>
      <w:pPr>
        <w:ind w:left="1340" w:right="1419" w:firstLine="976"/>
        <w:spacing w:after="0" w:line="255" w:lineRule="auto"/>
        <w:tabs>
          <w:tab w:leader="none" w:pos="2637"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122" w:lineRule="exact"/>
        <w:rPr>
          <w:rFonts w:ascii="Times New Roman" w:cs="Times New Roman" w:eastAsia="Times New Roman" w:hAnsi="Times New Roman"/>
          <w:sz w:val="16"/>
          <w:szCs w:val="16"/>
          <w:color w:val="auto"/>
        </w:rPr>
      </w:pPr>
    </w:p>
    <w:p>
      <w:pPr>
        <w:ind w:left="1340" w:right="1379" w:firstLine="1462"/>
        <w:spacing w:after="0" w:line="241" w:lineRule="auto"/>
        <w:tabs>
          <w:tab w:leader="none" w:pos="3123" w:val="left"/>
        </w:tabs>
        <w:numPr>
          <w:ilvl w:val="2"/>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64" w:name="page165"/>
    <w:bookmarkEnd w:id="164"/>
    <w:p>
      <w:pPr>
        <w:ind w:left="1340" w:right="1359"/>
        <w:spacing w:after="0" w:line="243" w:lineRule="auto"/>
        <w:rPr>
          <w:sz w:val="20"/>
          <w:szCs w:val="20"/>
          <w:color w:val="auto"/>
        </w:rPr>
      </w:pPr>
      <w:r>
        <w:rPr>
          <w:rFonts w:ascii="Times New Roman" w:cs="Times New Roman" w:eastAsia="Times New Roman" w:hAnsi="Times New Roman"/>
          <w:sz w:val="16"/>
          <w:szCs w:val="16"/>
          <w:color w:val="auto"/>
        </w:rPr>
        <w:t>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35" w:lineRule="exact"/>
        <w:rPr>
          <w:sz w:val="20"/>
          <w:szCs w:val="20"/>
          <w:color w:val="auto"/>
        </w:rPr>
      </w:pPr>
    </w:p>
    <w:p>
      <w:pPr>
        <w:jc w:val="both"/>
        <w:ind w:left="1340" w:right="1479" w:firstLine="1462"/>
        <w:spacing w:after="0" w:line="255" w:lineRule="auto"/>
        <w:tabs>
          <w:tab w:leader="none" w:pos="312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22"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127" w:lineRule="exact"/>
        <w:rPr>
          <w:rFonts w:ascii="Times New Roman" w:cs="Times New Roman" w:eastAsia="Times New Roman" w:hAnsi="Times New Roman"/>
          <w:sz w:val="16"/>
          <w:szCs w:val="16"/>
          <w:color w:val="auto"/>
        </w:rPr>
      </w:pPr>
    </w:p>
    <w:p>
      <w:pPr>
        <w:ind w:left="1340" w:right="1359" w:firstLine="1462"/>
        <w:spacing w:after="0" w:line="242" w:lineRule="auto"/>
        <w:tabs>
          <w:tab w:leader="none" w:pos="312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133" w:lineRule="exact"/>
        <w:rPr>
          <w:rFonts w:ascii="Times New Roman" w:cs="Times New Roman" w:eastAsia="Times New Roman" w:hAnsi="Times New Roman"/>
          <w:sz w:val="16"/>
          <w:szCs w:val="16"/>
          <w:color w:val="auto"/>
        </w:rPr>
      </w:pPr>
    </w:p>
    <w:p>
      <w:pPr>
        <w:ind w:left="1340" w:right="1399" w:firstLine="1462"/>
        <w:spacing w:after="0" w:line="244" w:lineRule="auto"/>
        <w:tabs>
          <w:tab w:leader="none" w:pos="312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133" w:lineRule="exact"/>
        <w:rPr>
          <w:rFonts w:ascii="Times New Roman" w:cs="Times New Roman" w:eastAsia="Times New Roman" w:hAnsi="Times New Roman"/>
          <w:sz w:val="16"/>
          <w:szCs w:val="16"/>
          <w:color w:val="auto"/>
        </w:rPr>
      </w:pPr>
    </w:p>
    <w:p>
      <w:pPr>
        <w:ind w:left="1340" w:right="1439" w:firstLine="1462"/>
        <w:spacing w:after="0" w:line="255" w:lineRule="auto"/>
        <w:tabs>
          <w:tab w:leader="none" w:pos="312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3" w:lineRule="exact"/>
        <w:rPr>
          <w:sz w:val="20"/>
          <w:szCs w:val="20"/>
          <w:color w:val="auto"/>
        </w:rPr>
      </w:pPr>
    </w:p>
    <w:p>
      <w:pPr>
        <w:ind w:left="1340" w:right="1379"/>
        <w:spacing w:after="0" w:line="249" w:lineRule="auto"/>
        <w:rPr>
          <w:sz w:val="20"/>
          <w:szCs w:val="20"/>
          <w:color w:val="auto"/>
        </w:rPr>
      </w:pPr>
      <w:r>
        <w:rPr>
          <w:rFonts w:ascii="Times New Roman" w:cs="Times New Roman" w:eastAsia="Times New Roman" w:hAnsi="Times New Roman"/>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5" w:name="page166"/>
    <w:bookmarkEnd w:id="165"/>
    <w:p>
      <w:pPr>
        <w:ind w:left="1340" w:right="153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Application by Trustee of Funds Deposited for Payment of Securities.</w:t>
      </w:r>
      <w:r>
        <w:rPr>
          <w:rFonts w:ascii="Times New Roman" w:cs="Times New Roman" w:eastAsia="Times New Roman" w:hAnsi="Times New Roman"/>
          <w:sz w:val="16"/>
          <w:szCs w:val="16"/>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31"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Repayment of Moneys Held by Paying Agent.</w:t>
      </w:r>
      <w:r>
        <w:rPr>
          <w:rFonts w:ascii="Times New Roman" w:cs="Times New Roman" w:eastAsia="Times New Roman" w:hAnsi="Times New Roman"/>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29"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10.04 </w:t>
      </w:r>
      <w:r>
        <w:rPr>
          <w:rFonts w:ascii="Times New Roman" w:cs="Times New Roman" w:eastAsia="Times New Roman" w:hAnsi="Times New Roman"/>
          <w:sz w:val="16"/>
          <w:szCs w:val="16"/>
          <w:i w:val="1"/>
          <w:iCs w:val="1"/>
          <w:color w:val="auto"/>
        </w:rPr>
        <w:t>Return of Moneys Held by Trustee and Paying Agent Unclaimed for Two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Years. </w:t>
      </w:r>
      <w:r>
        <w:rPr>
          <w:rFonts w:ascii="Times New Roman" w:cs="Times New Roman" w:eastAsia="Times New Roman" w:hAnsi="Times New Roman"/>
          <w:sz w:val="16"/>
          <w:szCs w:val="16"/>
          <w:color w:val="auto"/>
        </w:rPr>
        <w:t>Any moneys deposited with or paid to the Trustee or any paying agent for the payment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34"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Indemnity for U.S. Government Obligations and Foreign Government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Obligations. </w:t>
      </w:r>
      <w:r>
        <w:rPr>
          <w:rFonts w:ascii="Times New Roman" w:cs="Times New Roman" w:eastAsia="Times New Roman" w:hAnsi="Times New Roman"/>
          <w:sz w:val="16"/>
          <w:szCs w:val="16"/>
          <w:color w:val="auto"/>
        </w:rPr>
        <w:t>The Issuer shall pay and indemnify the Trustee against any tax, fee or other charge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imposed on or assessed against the U.S. Government Obligations or Foreign Government Obligations deposited pursuant to Section 10.01 or the principal or interest received in respect of such obligations.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11</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MISCELLANEOUS PROVISIONS</w:t>
      </w:r>
    </w:p>
    <w:p>
      <w:pPr>
        <w:spacing w:after="0" w:line="140"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i w:val="1"/>
          <w:iCs w:val="1"/>
          <w:color w:val="auto"/>
        </w:rPr>
        <w:t>No Recourse.</w:t>
      </w:r>
      <w:r>
        <w:rPr>
          <w:rFonts w:ascii="Times New Roman" w:cs="Times New Roman" w:eastAsia="Times New Roman" w:hAnsi="Times New Roman"/>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66" w:name="page167"/>
    <w:bookmarkEnd w:id="166"/>
    <w:p>
      <w:pPr>
        <w:ind w:left="1340" w:right="1419"/>
        <w:spacing w:after="0" w:line="243" w:lineRule="auto"/>
        <w:rPr>
          <w:sz w:val="20"/>
          <w:szCs w:val="20"/>
          <w:color w:val="auto"/>
        </w:rPr>
      </w:pPr>
      <w:r>
        <w:rPr>
          <w:rFonts w:ascii="Times New Roman" w:cs="Times New Roman" w:eastAsia="Times New Roman" w:hAnsi="Times New Roman"/>
          <w:sz w:val="16"/>
          <w:szCs w:val="16"/>
          <w:color w:val="auto"/>
        </w:rPr>
        <w:t>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33"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Provisions of Indenture for the Sole Benefit of Parties and Holders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Securities. </w:t>
      </w:r>
      <w:r>
        <w:rPr>
          <w:rFonts w:ascii="Times New Roman" w:cs="Times New Roman" w:eastAsia="Times New Roman" w:hAnsi="Times New Roman"/>
          <w:sz w:val="16"/>
          <w:szCs w:val="16"/>
          <w:color w:val="auto"/>
        </w:rPr>
        <w:t>Nothing in this Indenture or in the Securities, expressed or implied, shall give or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29" w:lineRule="exact"/>
        <w:rPr>
          <w:sz w:val="20"/>
          <w:szCs w:val="20"/>
          <w:color w:val="auto"/>
        </w:rPr>
      </w:pPr>
    </w:p>
    <w:p>
      <w:pPr>
        <w:jc w:val="both"/>
        <w:ind w:left="1340" w:right="149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11.03 </w:t>
      </w:r>
      <w:r>
        <w:rPr>
          <w:rFonts w:ascii="Times New Roman" w:cs="Times New Roman" w:eastAsia="Times New Roman" w:hAnsi="Times New Roman"/>
          <w:sz w:val="16"/>
          <w:szCs w:val="16"/>
          <w:i w:val="1"/>
          <w:iCs w:val="1"/>
          <w:color w:val="auto"/>
        </w:rPr>
        <w:t>Successors and Assigns of Issuer Bound by Indenture.</w:t>
      </w:r>
      <w:r>
        <w:rPr>
          <w:rFonts w:ascii="Times New Roman" w:cs="Times New Roman" w:eastAsia="Times New Roman" w:hAnsi="Times New Roman"/>
          <w:sz w:val="16"/>
          <w:szCs w:val="16"/>
          <w:color w:val="auto"/>
        </w:rPr>
        <w:t xml:space="preserve"> All the covenants, stipulations, promises and agreements contained in this Indenture by or on behalf of the Issuer shall bind its successors and assigns, whether so expressed or not.</w:t>
      </w:r>
    </w:p>
    <w:p>
      <w:pPr>
        <w:spacing w:after="0" w:line="120"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11.04 </w:t>
      </w:r>
      <w:r>
        <w:rPr>
          <w:rFonts w:ascii="Times New Roman" w:cs="Times New Roman" w:eastAsia="Times New Roman" w:hAnsi="Times New Roman"/>
          <w:sz w:val="16"/>
          <w:szCs w:val="16"/>
          <w:i w:val="1"/>
          <w:iCs w:val="1"/>
          <w:color w:val="auto"/>
        </w:rPr>
        <w:t>Notices and Demands on Issuer, Trustee and Holders of Securities.</w:t>
      </w:r>
      <w:r>
        <w:rPr>
          <w:rFonts w:ascii="Times New Roman" w:cs="Times New Roman" w:eastAsia="Times New Roman" w:hAnsi="Times New Roman"/>
          <w:sz w:val="16"/>
          <w:szCs w:val="16"/>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Xilio Therapeutics, Inc., 828 Winter Street, Suite 300, Waltham, Massachusetts 02451, Attn: ___________. Any notice, direction, request or demand by the Issuer or any Holder</w:t>
      </w:r>
    </w:p>
    <w:p>
      <w:pPr>
        <w:spacing w:after="0" w:line="3" w:lineRule="exact"/>
        <w:rPr>
          <w:sz w:val="20"/>
          <w:szCs w:val="20"/>
          <w:color w:val="auto"/>
        </w:rPr>
      </w:pPr>
    </w:p>
    <w:p>
      <w:pPr>
        <w:ind w:left="1340" w:right="1419"/>
        <w:spacing w:after="0" w:line="248" w:lineRule="auto"/>
        <w:rPr>
          <w:sz w:val="20"/>
          <w:szCs w:val="20"/>
          <w:color w:val="auto"/>
        </w:rPr>
      </w:pPr>
      <w:r>
        <w:rPr>
          <w:rFonts w:ascii="Times New Roman" w:cs="Times New Roman" w:eastAsia="Times New Roman" w:hAnsi="Times New Roman"/>
          <w:sz w:val="16"/>
          <w:szCs w:val="16"/>
          <w:color w:val="auto"/>
        </w:rPr>
        <w:t>of Securities to or upon the Trustee shall be deemed to have been sufficiently given or made, for all purposes, if given or made at _______, ________, Attn: _______.</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37" w:lineRule="exact"/>
        <w:rPr>
          <w:sz w:val="20"/>
          <w:szCs w:val="20"/>
          <w:color w:val="auto"/>
        </w:rPr>
      </w:pPr>
    </w:p>
    <w:p>
      <w:pPr>
        <w:ind w:left="1340" w:right="1439" w:firstLine="486"/>
        <w:spacing w:after="0" w:line="249" w:lineRule="auto"/>
        <w:rPr>
          <w:sz w:val="20"/>
          <w:szCs w:val="20"/>
          <w:color w:val="auto"/>
        </w:rPr>
      </w:pPr>
      <w:r>
        <w:rPr>
          <w:rFonts w:ascii="Times New Roman" w:cs="Times New Roman" w:eastAsia="Times New Roman" w:hAnsi="Times New Roman"/>
          <w:sz w:val="16"/>
          <w:szCs w:val="16"/>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28" w:lineRule="exact"/>
        <w:rPr>
          <w:sz w:val="20"/>
          <w:szCs w:val="20"/>
          <w:color w:val="auto"/>
        </w:rPr>
      </w:pPr>
    </w:p>
    <w:p>
      <w:pPr>
        <w:ind w:left="1340" w:right="1559" w:firstLine="486"/>
        <w:spacing w:after="0" w:line="272" w:lineRule="auto"/>
        <w:rPr>
          <w:sz w:val="20"/>
          <w:szCs w:val="20"/>
          <w:color w:val="auto"/>
        </w:rPr>
      </w:pPr>
      <w:r>
        <w:rPr>
          <w:rFonts w:ascii="Times New Roman" w:cs="Times New Roman" w:eastAsia="Times New Roman" w:hAnsi="Times New Roman"/>
          <w:sz w:val="16"/>
          <w:szCs w:val="16"/>
          <w:color w:val="auto"/>
        </w:rPr>
        <w:t>Where this Indenture provides for notice of any event to a Holder of a Global Security, such notice shall be sufficiently given if given to the Depositary for such Security (or its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7" w:name="page168"/>
    <w:bookmarkEnd w:id="167"/>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designee), pursuant to the Applicable Procedures of the Depositary, not later than the latest date, if any, and not earlier than the earliest date, if any, prescribed for the giving of such notice.</w:t>
      </w:r>
    </w:p>
    <w:p>
      <w:pPr>
        <w:spacing w:after="0" w:line="110" w:lineRule="exact"/>
        <w:rPr>
          <w:sz w:val="20"/>
          <w:szCs w:val="20"/>
          <w:color w:val="auto"/>
        </w:rPr>
      </w:pPr>
    </w:p>
    <w:p>
      <w:pPr>
        <w:ind w:left="1340" w:right="1459" w:firstLine="486"/>
        <w:spacing w:after="0" w:line="255" w:lineRule="auto"/>
        <w:rPr>
          <w:sz w:val="20"/>
          <w:szCs w:val="20"/>
          <w:color w:val="auto"/>
        </w:rPr>
      </w:pPr>
      <w:r>
        <w:rPr>
          <w:rFonts w:ascii="Times New Roman" w:cs="Times New Roman" w:eastAsia="Times New Roman" w:hAnsi="Times New Roman"/>
          <w:sz w:val="16"/>
          <w:szCs w:val="16"/>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23"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11.05 </w:t>
      </w:r>
      <w:r>
        <w:rPr>
          <w:rFonts w:ascii="Times New Roman" w:cs="Times New Roman" w:eastAsia="Times New Roman" w:hAnsi="Times New Roman"/>
          <w:sz w:val="16"/>
          <w:szCs w:val="16"/>
          <w:i w:val="1"/>
          <w:iCs w:val="1"/>
          <w:color w:val="auto"/>
        </w:rPr>
        <w:t>Officer’s Certificates and Opinions of Counsel; Statements to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Contained Therein. </w:t>
      </w:r>
      <w:r>
        <w:rPr>
          <w:rFonts w:ascii="Times New Roman" w:cs="Times New Roman" w:eastAsia="Times New Roman" w:hAnsi="Times New Roman"/>
          <w:sz w:val="16"/>
          <w:szCs w:val="16"/>
          <w:color w:val="auto"/>
        </w:rPr>
        <w:t>Upon any application or demand by the Issuer to the Trustee to take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36"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34"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36" w:lineRule="exact"/>
        <w:rPr>
          <w:sz w:val="20"/>
          <w:szCs w:val="20"/>
          <w:color w:val="auto"/>
        </w:rPr>
      </w:pPr>
    </w:p>
    <w:p>
      <w:pPr>
        <w:ind w:left="1340" w:right="1719" w:firstLine="486"/>
        <w:spacing w:after="0" w:line="272"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or of counsel may be based, insofar as it relates to accounting matters, upon a certificate or opinion of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8" w:name="page169"/>
    <w:bookmarkEnd w:id="168"/>
    <w:p>
      <w:pPr>
        <w:ind w:left="1340" w:right="1479"/>
        <w:spacing w:after="0" w:line="246" w:lineRule="auto"/>
        <w:rPr>
          <w:sz w:val="20"/>
          <w:szCs w:val="20"/>
          <w:color w:val="auto"/>
        </w:rPr>
      </w:pPr>
      <w:r>
        <w:rPr>
          <w:rFonts w:ascii="Times New Roman" w:cs="Times New Roman" w:eastAsia="Times New Roman" w:hAnsi="Times New Roman"/>
          <w:sz w:val="16"/>
          <w:szCs w:val="16"/>
          <w:color w:val="auto"/>
        </w:rPr>
        <w:t>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31" w:lineRule="exact"/>
        <w:rPr>
          <w:sz w:val="20"/>
          <w:szCs w:val="20"/>
          <w:color w:val="auto"/>
        </w:rPr>
      </w:pPr>
    </w:p>
    <w:p>
      <w:pPr>
        <w:ind w:left="1340" w:right="1539" w:firstLine="486"/>
        <w:spacing w:after="0" w:line="272" w:lineRule="auto"/>
        <w:rPr>
          <w:sz w:val="20"/>
          <w:szCs w:val="20"/>
          <w:color w:val="auto"/>
        </w:rPr>
      </w:pPr>
      <w:r>
        <w:rPr>
          <w:rFonts w:ascii="Times New Roman" w:cs="Times New Roman" w:eastAsia="Times New Roman" w:hAnsi="Times New Roman"/>
          <w:sz w:val="16"/>
          <w:szCs w:val="16"/>
          <w:color w:val="auto"/>
        </w:rPr>
        <w:t>Any certificate or opinion of any independent firm of public accountants filed with and directed to the Trustee shall contain a statement that such firm is independent.</w:t>
      </w:r>
    </w:p>
    <w:p>
      <w:pPr>
        <w:spacing w:after="0" w:line="108"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11.06 </w:t>
      </w:r>
      <w:r>
        <w:rPr>
          <w:rFonts w:ascii="Times New Roman" w:cs="Times New Roman" w:eastAsia="Times New Roman" w:hAnsi="Times New Roman"/>
          <w:sz w:val="16"/>
          <w:szCs w:val="16"/>
          <w:i w:val="1"/>
          <w:iCs w:val="1"/>
          <w:color w:val="auto"/>
        </w:rPr>
        <w:t>Payments Due on Saturdays, Sundays and Holidays.</w:t>
      </w:r>
      <w:r>
        <w:rPr>
          <w:rFonts w:ascii="Times New Roman" w:cs="Times New Roman" w:eastAsia="Times New Roman" w:hAnsi="Times New Roman"/>
          <w:sz w:val="16"/>
          <w:szCs w:val="16"/>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29" w:lineRule="exact"/>
        <w:rPr>
          <w:sz w:val="20"/>
          <w:szCs w:val="20"/>
          <w:color w:val="auto"/>
        </w:rPr>
      </w:pPr>
    </w:p>
    <w:p>
      <w:pPr>
        <w:jc w:val="both"/>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11.07 </w:t>
      </w:r>
      <w:r>
        <w:rPr>
          <w:rFonts w:ascii="Times New Roman" w:cs="Times New Roman" w:eastAsia="Times New Roman" w:hAnsi="Times New Roman"/>
          <w:sz w:val="16"/>
          <w:szCs w:val="16"/>
          <w:i w:val="1"/>
          <w:iCs w:val="1"/>
          <w:color w:val="auto"/>
        </w:rPr>
        <w:t>Conflict of Any Provision of Indenture With Trust Indenture Act of 1939.</w:t>
      </w:r>
      <w:r>
        <w:rPr>
          <w:rFonts w:ascii="Times New Roman" w:cs="Times New Roman" w:eastAsia="Times New Roman" w:hAnsi="Times New Roman"/>
          <w:sz w:val="16"/>
          <w:szCs w:val="16"/>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25" w:lineRule="exact"/>
        <w:rPr>
          <w:sz w:val="20"/>
          <w:szCs w:val="20"/>
          <w:color w:val="auto"/>
        </w:rPr>
      </w:pPr>
    </w:p>
    <w:p>
      <w:pPr>
        <w:ind w:left="1340" w:right="143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11.08 </w:t>
      </w:r>
      <w:r>
        <w:rPr>
          <w:rFonts w:ascii="Times New Roman" w:cs="Times New Roman" w:eastAsia="Times New Roman" w:hAnsi="Times New Roman"/>
          <w:sz w:val="16"/>
          <w:szCs w:val="16"/>
          <w:i w:val="1"/>
          <w:iCs w:val="1"/>
          <w:color w:val="auto"/>
        </w:rPr>
        <w:t>New York Law to Govern.</w:t>
      </w:r>
      <w:r>
        <w:rPr>
          <w:rFonts w:ascii="Times New Roman" w:cs="Times New Roman" w:eastAsia="Times New Roman" w:hAnsi="Times New Roman"/>
          <w:sz w:val="16"/>
          <w:szCs w:val="16"/>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27" w:lineRule="exact"/>
        <w:rPr>
          <w:sz w:val="20"/>
          <w:szCs w:val="20"/>
          <w:color w:val="auto"/>
        </w:rPr>
      </w:pPr>
    </w:p>
    <w:p>
      <w:pPr>
        <w:ind w:left="1340" w:right="153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11.09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xml:space="preserve"> This Indenture may be executed in any number of counterparts, each of which shall be an original; but such counterparts shall together constitute but one and the same instrument.</w:t>
      </w:r>
    </w:p>
    <w:p>
      <w:pPr>
        <w:spacing w:after="0" w:line="120"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11.10 </w:t>
      </w:r>
      <w:r>
        <w:rPr>
          <w:rFonts w:ascii="Times New Roman" w:cs="Times New Roman" w:eastAsia="Times New Roman" w:hAnsi="Times New Roman"/>
          <w:sz w:val="16"/>
          <w:szCs w:val="16"/>
          <w:i w:val="1"/>
          <w:iCs w:val="1"/>
          <w:color w:val="auto"/>
        </w:rPr>
        <w:t>Effect of Headings.</w:t>
      </w:r>
      <w:r>
        <w:rPr>
          <w:rFonts w:ascii="Times New Roman" w:cs="Times New Roman" w:eastAsia="Times New Roman" w:hAnsi="Times New Roman"/>
          <w:sz w:val="16"/>
          <w:szCs w:val="16"/>
          <w:color w:val="auto"/>
        </w:rPr>
        <w:t xml:space="preserve"> The Article and Section headings herein and the Table of Contents are for convenience only and shall not affect the construction hereof.</w:t>
      </w:r>
    </w:p>
    <w:p>
      <w:pPr>
        <w:spacing w:after="0" w:line="107"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11.11 </w:t>
      </w:r>
      <w:r>
        <w:rPr>
          <w:rFonts w:ascii="Times New Roman" w:cs="Times New Roman" w:eastAsia="Times New Roman" w:hAnsi="Times New Roman"/>
          <w:sz w:val="16"/>
          <w:szCs w:val="16"/>
          <w:i w:val="1"/>
          <w:iCs w:val="1"/>
          <w:color w:val="auto"/>
        </w:rPr>
        <w:t>Actions by Successor</w:t>
      </w:r>
      <w:r>
        <w:rPr>
          <w:rFonts w:ascii="Times New Roman" w:cs="Times New Roman" w:eastAsia="Times New Roman" w:hAnsi="Times New Roman"/>
          <w:sz w:val="16"/>
          <w:szCs w:val="16"/>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27" w:lineRule="exact"/>
        <w:rPr>
          <w:sz w:val="20"/>
          <w:szCs w:val="20"/>
          <w:color w:val="auto"/>
        </w:rPr>
      </w:pPr>
    </w:p>
    <w:p>
      <w:pPr>
        <w:ind w:left="1340" w:right="15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11.12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6"/>
          <w:szCs w:val="16"/>
          <w:color w:val="auto"/>
        </w:rPr>
        <w:t>ARTICLE 12</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REDEMPTION OF SECURITIES AND SINKING FUNDS</w:t>
      </w:r>
    </w:p>
    <w:p>
      <w:pPr>
        <w:spacing w:after="0" w:line="140"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i w:val="1"/>
          <w:iCs w:val="1"/>
          <w:color w:val="auto"/>
        </w:rPr>
        <w:t>Applicability of Article.</w:t>
      </w:r>
      <w:r>
        <w:rPr>
          <w:rFonts w:ascii="Times New Roman" w:cs="Times New Roman" w:eastAsia="Times New Roman" w:hAnsi="Times New Roman"/>
          <w:sz w:val="16"/>
          <w:szCs w:val="16"/>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12.02 </w:t>
      </w:r>
      <w:r>
        <w:rPr>
          <w:rFonts w:ascii="Times New Roman" w:cs="Times New Roman" w:eastAsia="Times New Roman" w:hAnsi="Times New Roman"/>
          <w:sz w:val="16"/>
          <w:szCs w:val="16"/>
          <w:i w:val="1"/>
          <w:iCs w:val="1"/>
          <w:color w:val="auto"/>
        </w:rPr>
        <w:t>Notice of Redemption; Partial Redemptions.</w:t>
      </w:r>
      <w:r>
        <w:rPr>
          <w:rFonts w:ascii="Times New Roman" w:cs="Times New Roman" w:eastAsia="Times New Roman" w:hAnsi="Times New Roman"/>
          <w:sz w:val="16"/>
          <w:szCs w:val="16"/>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36"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41" w:lineRule="exact"/>
        <w:rPr>
          <w:sz w:val="20"/>
          <w:szCs w:val="20"/>
          <w:color w:val="auto"/>
        </w:rPr>
      </w:pPr>
    </w:p>
    <w:p>
      <w:pPr>
        <w:jc w:val="both"/>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The notice of redemption of Securities of any series to be redeemed at the option of the Issuer shall be given by the Issuer or, at the Issuer’s request, by the Trustee in the name and at the expense of the Issuer.</w:t>
      </w:r>
    </w:p>
    <w:p>
      <w:pPr>
        <w:spacing w:after="0" w:line="123" w:lineRule="exact"/>
        <w:rPr>
          <w:sz w:val="20"/>
          <w:szCs w:val="20"/>
          <w:color w:val="auto"/>
        </w:rPr>
      </w:pPr>
    </w:p>
    <w:p>
      <w:pPr>
        <w:ind w:left="1340" w:right="1419" w:firstLine="486"/>
        <w:spacing w:after="0" w:line="241" w:lineRule="auto"/>
        <w:rPr>
          <w:sz w:val="20"/>
          <w:szCs w:val="20"/>
          <w:color w:val="auto"/>
        </w:rPr>
      </w:pPr>
      <w:r>
        <w:rPr>
          <w:rFonts w:ascii="Times New Roman" w:cs="Times New Roman" w:eastAsia="Times New Roman" w:hAnsi="Times New Roman"/>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0" w:name="page171"/>
    <w:bookmarkEnd w:id="170"/>
    <w:p>
      <w:pPr>
        <w:ind w:left="1340" w:right="1419"/>
        <w:spacing w:after="0" w:line="243" w:lineRule="auto"/>
        <w:rPr>
          <w:sz w:val="20"/>
          <w:szCs w:val="20"/>
          <w:color w:val="auto"/>
        </w:rPr>
      </w:pPr>
      <w:r>
        <w:rPr>
          <w:rFonts w:ascii="Times New Roman" w:cs="Times New Roman" w:eastAsia="Times New Roman" w:hAnsi="Times New Roman"/>
          <w:sz w:val="16"/>
          <w:szCs w:val="16"/>
          <w:color w:val="auto"/>
        </w:rPr>
        <w:t>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35"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31"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i w:val="1"/>
          <w:iCs w:val="1"/>
          <w:color w:val="auto"/>
        </w:rPr>
        <w:t>Payment of Securities Called for Redemption.</w:t>
      </w:r>
      <w:r>
        <w:rPr>
          <w:rFonts w:ascii="Times New Roman" w:cs="Times New Roman" w:eastAsia="Times New Roman" w:hAnsi="Times New Roman"/>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payment of interest becoming due on or prior to the date fixed for redemption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payable to the Holders of such Securities registered as such on the relevant record date subject to the terms and provisions of Sections 2.03 and 2.07 hereof.</w:t>
      </w:r>
    </w:p>
    <w:p>
      <w:pPr>
        <w:spacing w:after="0" w:line="135"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71" w:name="page172"/>
    <w:bookmarkEnd w:id="171"/>
    <w:p>
      <w:pPr>
        <w:ind w:left="1340" w:right="1399" w:firstLine="486"/>
        <w:spacing w:after="0" w:line="249" w:lineRule="auto"/>
        <w:rPr>
          <w:sz w:val="20"/>
          <w:szCs w:val="20"/>
          <w:color w:val="auto"/>
        </w:rPr>
      </w:pPr>
      <w:r>
        <w:rPr>
          <w:rFonts w:ascii="Times New Roman" w:cs="Times New Roman" w:eastAsia="Times New Roman" w:hAnsi="Times New Roman"/>
          <w:sz w:val="16"/>
          <w:szCs w:val="16"/>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26"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12.04 </w:t>
      </w:r>
      <w:r>
        <w:rPr>
          <w:rFonts w:ascii="Times New Roman" w:cs="Times New Roman" w:eastAsia="Times New Roman" w:hAnsi="Times New Roman"/>
          <w:sz w:val="16"/>
          <w:szCs w:val="16"/>
          <w:i w:val="1"/>
          <w:iCs w:val="1"/>
          <w:color w:val="auto"/>
        </w:rPr>
        <w:t>Exclusion of Certain Securities from Eligibility for Selection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Redemption. </w:t>
      </w:r>
      <w:r>
        <w:rPr>
          <w:rFonts w:ascii="Times New Roman" w:cs="Times New Roman" w:eastAsia="Times New Roman" w:hAnsi="Times New Roman"/>
          <w:sz w:val="16"/>
          <w:szCs w:val="16"/>
          <w:color w:val="auto"/>
        </w:rPr>
        <w:t>Securities shall be excluded from eligibility for selection for redemption if they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 xml:space="preserve">Section 12.05 </w:t>
      </w:r>
      <w:r>
        <w:rPr>
          <w:rFonts w:ascii="Times New Roman" w:cs="Times New Roman" w:eastAsia="Times New Roman" w:hAnsi="Times New Roman"/>
          <w:sz w:val="16"/>
          <w:szCs w:val="16"/>
          <w:i w:val="1"/>
          <w:iCs w:val="1"/>
          <w:color w:val="auto"/>
        </w:rPr>
        <w:t>Mandatory and Optional Sinking Funds.</w:t>
      </w:r>
      <w:r>
        <w:rPr>
          <w:rFonts w:ascii="Times New Roman" w:cs="Times New Roman" w:eastAsia="Times New Roman" w:hAnsi="Times New Roman"/>
          <w:sz w:val="16"/>
          <w:szCs w:val="16"/>
          <w:color w:val="auto"/>
        </w:rPr>
        <w:t xml:space="preserve"> The minimum amount of any</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sinking fund payment provided for by the terms of the Securities of any series is herein referred</w:t>
      </w:r>
    </w:p>
    <w:p>
      <w:pPr>
        <w:ind w:left="1340"/>
        <w:spacing w:after="0" w:line="237" w:lineRule="auto"/>
        <w:rPr>
          <w:sz w:val="20"/>
          <w:szCs w:val="20"/>
          <w:color w:val="auto"/>
        </w:rPr>
      </w:pPr>
      <w:r>
        <w:rPr>
          <w:rFonts w:ascii="Times New Roman" w:cs="Times New Roman" w:eastAsia="Times New Roman" w:hAnsi="Times New Roman"/>
          <w:sz w:val="16"/>
          <w:szCs w:val="16"/>
          <w:color w:val="auto"/>
        </w:rPr>
        <w:t>to as a “</w:t>
      </w:r>
      <w:r>
        <w:rPr>
          <w:rFonts w:ascii="Times New Roman" w:cs="Times New Roman" w:eastAsia="Times New Roman" w:hAnsi="Times New Roman"/>
          <w:sz w:val="16"/>
          <w:szCs w:val="16"/>
          <w:b w:val="1"/>
          <w:bCs w:val="1"/>
          <w:color w:val="auto"/>
        </w:rPr>
        <w:t>mandatory sinking fund payment</w:t>
      </w:r>
      <w:r>
        <w:rPr>
          <w:rFonts w:ascii="Times New Roman" w:cs="Times New Roman" w:eastAsia="Times New Roman" w:hAnsi="Times New Roman"/>
          <w:sz w:val="16"/>
          <w:szCs w:val="16"/>
          <w:color w:val="auto"/>
        </w:rPr>
        <w:t>”, and any payment in excess of such minimum</w:t>
      </w:r>
    </w:p>
    <w:p>
      <w:pPr>
        <w:ind w:left="1340"/>
        <w:spacing w:after="0"/>
        <w:rPr>
          <w:sz w:val="20"/>
          <w:szCs w:val="20"/>
          <w:color w:val="auto"/>
        </w:rPr>
      </w:pPr>
      <w:r>
        <w:rPr>
          <w:rFonts w:ascii="Times New Roman" w:cs="Times New Roman" w:eastAsia="Times New Roman" w:hAnsi="Times New Roman"/>
          <w:sz w:val="16"/>
          <w:szCs w:val="16"/>
          <w:color w:val="auto"/>
        </w:rPr>
        <w:t>amount provided for by the terms of the Securities of any series is herein referred to as an</w:t>
      </w:r>
    </w:p>
    <w:p>
      <w:pPr>
        <w:ind w:left="134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sinking fund payment</w:t>
      </w:r>
      <w:r>
        <w:rPr>
          <w:rFonts w:ascii="Times New Roman" w:cs="Times New Roman" w:eastAsia="Times New Roman" w:hAnsi="Times New Roman"/>
          <w:sz w:val="16"/>
          <w:szCs w:val="16"/>
          <w:color w:val="auto"/>
        </w:rPr>
        <w:t>”. The date on which a sinking fund payment is to be made is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herein referred to as the “</w:t>
      </w:r>
      <w:r>
        <w:rPr>
          <w:rFonts w:ascii="Times New Roman" w:cs="Times New Roman" w:eastAsia="Times New Roman" w:hAnsi="Times New Roman"/>
          <w:sz w:val="16"/>
          <w:szCs w:val="16"/>
          <w:b w:val="1"/>
          <w:bCs w:val="1"/>
          <w:color w:val="auto"/>
        </w:rPr>
        <w:t>sinking fund payment date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340" w:right="1439" w:firstLine="486"/>
        <w:spacing w:after="0"/>
        <w:rPr>
          <w:sz w:val="20"/>
          <w:szCs w:val="20"/>
          <w:color w:val="auto"/>
        </w:rPr>
      </w:pPr>
      <w:r>
        <w:rPr>
          <w:rFonts w:ascii="Times New Roman" w:cs="Times New Roman" w:eastAsia="Times New Roman" w:hAnsi="Times New Roman"/>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41"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2" w:name="page173"/>
    <w:bookmarkEnd w:id="172"/>
    <w:p>
      <w:pPr>
        <w:ind w:left="1340" w:right="1399"/>
        <w:spacing w:after="0" w:line="241" w:lineRule="auto"/>
        <w:rPr>
          <w:sz w:val="20"/>
          <w:szCs w:val="20"/>
          <w:color w:val="auto"/>
        </w:rPr>
      </w:pPr>
      <w:r>
        <w:rPr>
          <w:rFonts w:ascii="Times New Roman" w:cs="Times New Roman" w:eastAsia="Times New Roman" w:hAnsi="Times New Roman"/>
          <w:sz w:val="16"/>
          <w:szCs w:val="16"/>
          <w:color w:val="auto"/>
        </w:rPr>
        <w:t>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3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3" w:name="page174"/>
    <w:bookmarkEnd w:id="173"/>
    <w:p>
      <w:pPr>
        <w:ind w:left="1340" w:right="1379" w:firstLine="486"/>
        <w:spacing w:after="0" w:line="255" w:lineRule="auto"/>
        <w:rPr>
          <w:sz w:val="20"/>
          <w:szCs w:val="20"/>
          <w:color w:val="auto"/>
        </w:rPr>
      </w:pPr>
      <w:r>
        <w:rPr>
          <w:rFonts w:ascii="Times New Roman" w:cs="Times New Roman" w:eastAsia="Times New Roman" w:hAnsi="Times New Roman"/>
          <w:sz w:val="16"/>
          <w:szCs w:val="16"/>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23"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13</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SUBORDINATION OF SECURITIES</w:t>
      </w:r>
    </w:p>
    <w:p>
      <w:pPr>
        <w:spacing w:after="0" w:line="140" w:lineRule="exact"/>
        <w:rPr>
          <w:sz w:val="20"/>
          <w:szCs w:val="20"/>
          <w:color w:val="auto"/>
        </w:rPr>
      </w:pPr>
    </w:p>
    <w:p>
      <w:pPr>
        <w:ind w:left="1340" w:right="14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13.01 </w:t>
      </w:r>
      <w:r>
        <w:rPr>
          <w:rFonts w:ascii="Times New Roman" w:cs="Times New Roman" w:eastAsia="Times New Roman" w:hAnsi="Times New Roman"/>
          <w:sz w:val="16"/>
          <w:szCs w:val="16"/>
          <w:i w:val="1"/>
          <w:iCs w:val="1"/>
          <w:color w:val="auto"/>
        </w:rPr>
        <w:t>Agreement of Subordination.</w:t>
      </w:r>
      <w:r>
        <w:rPr>
          <w:rFonts w:ascii="Times New Roman" w:cs="Times New Roman" w:eastAsia="Times New Roman" w:hAnsi="Times New Roman"/>
          <w:sz w:val="16"/>
          <w:szCs w:val="16"/>
          <w:color w:val="auto"/>
        </w:rPr>
        <w:t xml:space="preserve"> 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spacing w:after="0" w:line="129" w:lineRule="exact"/>
        <w:rPr>
          <w:sz w:val="20"/>
          <w:szCs w:val="20"/>
          <w:color w:val="auto"/>
        </w:rPr>
      </w:pPr>
    </w:p>
    <w:p>
      <w:pPr>
        <w:ind w:left="1340" w:right="1359" w:firstLine="486"/>
        <w:spacing w:after="0" w:line="249" w:lineRule="auto"/>
        <w:rPr>
          <w:sz w:val="20"/>
          <w:szCs w:val="20"/>
          <w:color w:val="auto"/>
        </w:rPr>
      </w:pPr>
      <w:r>
        <w:rPr>
          <w:rFonts w:ascii="Times New Roman" w:cs="Times New Roman" w:eastAsia="Times New Roman" w:hAnsi="Times New Roman"/>
          <w:sz w:val="16"/>
          <w:szCs w:val="16"/>
          <w:color w:val="auto"/>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spacing w:after="0" w:line="128" w:lineRule="exact"/>
        <w:rPr>
          <w:sz w:val="20"/>
          <w:szCs w:val="20"/>
          <w:color w:val="auto"/>
        </w:rPr>
      </w:pPr>
    </w:p>
    <w:p>
      <w:pPr>
        <w:ind w:left="1340" w:right="1399" w:firstLine="486"/>
        <w:spacing w:after="0" w:line="272" w:lineRule="auto"/>
        <w:rPr>
          <w:sz w:val="20"/>
          <w:szCs w:val="20"/>
          <w:color w:val="auto"/>
        </w:rPr>
      </w:pPr>
      <w:r>
        <w:rPr>
          <w:rFonts w:ascii="Times New Roman" w:cs="Times New Roman" w:eastAsia="Times New Roman" w:hAnsi="Times New Roman"/>
          <w:sz w:val="16"/>
          <w:szCs w:val="16"/>
          <w:color w:val="auto"/>
        </w:rPr>
        <w:t>The provisions of this Article 13 define the subordination of the Securities, as obligations of the Issuer, with respect to Senior Indebtedness of the Issuer.</w:t>
      </w:r>
    </w:p>
    <w:p>
      <w:pPr>
        <w:spacing w:after="0" w:line="110" w:lineRule="exact"/>
        <w:rPr>
          <w:sz w:val="20"/>
          <w:szCs w:val="20"/>
          <w:color w:val="auto"/>
        </w:rPr>
      </w:pPr>
    </w:p>
    <w:p>
      <w:pPr>
        <w:ind w:left="1340" w:right="1619" w:firstLine="486"/>
        <w:spacing w:after="0" w:line="272" w:lineRule="auto"/>
        <w:rPr>
          <w:sz w:val="20"/>
          <w:szCs w:val="20"/>
          <w:color w:val="auto"/>
        </w:rPr>
      </w:pPr>
      <w:r>
        <w:rPr>
          <w:rFonts w:ascii="Times New Roman" w:cs="Times New Roman" w:eastAsia="Times New Roman" w:hAnsi="Times New Roman"/>
          <w:sz w:val="16"/>
          <w:szCs w:val="16"/>
          <w:color w:val="auto"/>
        </w:rPr>
        <w:t>No provision of this Article 13 shall prevent the occurrence of any default or Event of Default hereunder.</w:t>
      </w:r>
    </w:p>
    <w:p>
      <w:pPr>
        <w:spacing w:after="0" w:line="108"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13.02 </w:t>
      </w:r>
      <w:r>
        <w:rPr>
          <w:rFonts w:ascii="Times New Roman" w:cs="Times New Roman" w:eastAsia="Times New Roman" w:hAnsi="Times New Roman"/>
          <w:sz w:val="16"/>
          <w:szCs w:val="16"/>
          <w:i w:val="1"/>
          <w:iCs w:val="1"/>
          <w:color w:val="auto"/>
        </w:rPr>
        <w:t>Payments to Securityholders.</w:t>
      </w:r>
      <w:r>
        <w:rPr>
          <w:rFonts w:ascii="Times New Roman" w:cs="Times New Roman" w:eastAsia="Times New Roman" w:hAnsi="Times New Roman"/>
          <w:sz w:val="16"/>
          <w:szCs w:val="16"/>
          <w:color w:val="auto"/>
        </w:rPr>
        <w:t xml:space="preserve">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4" w:name="page175"/>
    <w:bookmarkEnd w:id="174"/>
    <w:p>
      <w:pPr>
        <w:ind w:left="1340" w:right="1379"/>
        <w:spacing w:after="0" w:line="272" w:lineRule="auto"/>
        <w:rPr>
          <w:sz w:val="20"/>
          <w:szCs w:val="20"/>
          <w:color w:val="auto"/>
        </w:rPr>
      </w:pPr>
      <w:r>
        <w:rPr>
          <w:rFonts w:ascii="Times New Roman" w:cs="Times New Roman" w:eastAsia="Times New Roman" w:hAnsi="Times New Roman"/>
          <w:sz w:val="16"/>
          <w:szCs w:val="16"/>
          <w:color w:val="auto"/>
        </w:rPr>
        <w:t>of such default and payments made pursuant to Article 10 hereof from monies deposited with the Trustee pursuant thereto prior to the happening of such default.</w:t>
      </w:r>
    </w:p>
    <w:p>
      <w:pPr>
        <w:spacing w:after="0" w:line="110" w:lineRule="exact"/>
        <w:rPr>
          <w:sz w:val="20"/>
          <w:szCs w:val="20"/>
          <w:color w:val="auto"/>
        </w:rPr>
      </w:pPr>
    </w:p>
    <w:p>
      <w:pPr>
        <w:ind w:left="1340" w:right="1359" w:firstLine="486"/>
        <w:spacing w:after="0" w:line="239" w:lineRule="auto"/>
        <w:rPr>
          <w:sz w:val="20"/>
          <w:szCs w:val="20"/>
          <w:color w:val="auto"/>
        </w:rPr>
      </w:pPr>
      <w:r>
        <w:rPr>
          <w:rFonts w:ascii="Times New Roman" w:cs="Times New Roman" w:eastAsia="Times New Roman" w:hAnsi="Times New Roman"/>
          <w:sz w:val="16"/>
          <w:szCs w:val="16"/>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142" w:lineRule="exact"/>
        <w:rPr>
          <w:sz w:val="20"/>
          <w:szCs w:val="20"/>
          <w:color w:val="auto"/>
        </w:rPr>
      </w:pPr>
    </w:p>
    <w:p>
      <w:pPr>
        <w:ind w:left="1340" w:right="1419" w:firstLine="486"/>
        <w:spacing w:after="0"/>
        <w:rPr>
          <w:sz w:val="20"/>
          <w:szCs w:val="20"/>
          <w:color w:val="auto"/>
        </w:rPr>
      </w:pPr>
      <w:r>
        <w:rPr>
          <w:rFonts w:ascii="Times New Roman" w:cs="Times New Roman" w:eastAsia="Times New Roman" w:hAnsi="Times New Roman"/>
          <w:sz w:val="16"/>
          <w:szCs w:val="16"/>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325" w:lineRule="exact"/>
        <w:rPr>
          <w:sz w:val="20"/>
          <w:szCs w:val="20"/>
          <w:color w:val="auto"/>
        </w:rPr>
      </w:pPr>
    </w:p>
    <w:p>
      <w:pPr>
        <w:ind w:left="1340" w:right="1399" w:firstLine="486"/>
        <w:spacing w:after="0" w:line="244" w:lineRule="auto"/>
        <w:rPr>
          <w:sz w:val="20"/>
          <w:szCs w:val="20"/>
          <w:color w:val="auto"/>
        </w:rPr>
      </w:pPr>
      <w:r>
        <w:rPr>
          <w:rFonts w:ascii="Times New Roman" w:cs="Times New Roman" w:eastAsia="Times New Roman" w:hAnsi="Times New Roman"/>
          <w:sz w:val="16"/>
          <w:szCs w:val="16"/>
          <w:color w:val="auto"/>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5" w:name="page176"/>
    <w:bookmarkEnd w:id="175"/>
    <w:p>
      <w:pPr>
        <w:ind w:left="1340" w:right="1459"/>
        <w:spacing w:after="0" w:line="249" w:lineRule="auto"/>
        <w:rPr>
          <w:sz w:val="20"/>
          <w:szCs w:val="20"/>
          <w:color w:val="auto"/>
        </w:rPr>
      </w:pPr>
      <w:r>
        <w:rPr>
          <w:rFonts w:ascii="Times New Roman" w:cs="Times New Roman" w:eastAsia="Times New Roman" w:hAnsi="Times New Roman"/>
          <w:sz w:val="16"/>
          <w:szCs w:val="16"/>
          <w:color w:val="auto"/>
        </w:rPr>
        <w:t>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spacing w:after="0" w:line="128"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w:t>
      </w:r>
    </w:p>
    <w:p>
      <w:pPr>
        <w:spacing w:after="0" w:line="133"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13.03 </w:t>
      </w:r>
      <w:r>
        <w:rPr>
          <w:rFonts w:ascii="Times New Roman" w:cs="Times New Roman" w:eastAsia="Times New Roman" w:hAnsi="Times New Roman"/>
          <w:sz w:val="16"/>
          <w:szCs w:val="16"/>
          <w:i w:val="1"/>
          <w:iCs w:val="1"/>
          <w:color w:val="auto"/>
        </w:rPr>
        <w:t>Subrogation of Securities.</w:t>
      </w:r>
      <w:r>
        <w:rPr>
          <w:rFonts w:ascii="Times New Roman" w:cs="Times New Roman" w:eastAsia="Times New Roman" w:hAnsi="Times New Roman"/>
          <w:sz w:val="16"/>
          <w:szCs w:val="16"/>
          <w:color w:val="auto"/>
        </w:rPr>
        <w:t xml:space="preserve">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spacing w:after="0" w:line="143"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spacing w:after="0" w:line="136"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76" w:name="page177"/>
    <w:bookmarkEnd w:id="176"/>
    <w:p>
      <w:pPr>
        <w:ind w:left="1340" w:right="1499"/>
        <w:spacing w:after="0" w:line="272" w:lineRule="auto"/>
        <w:rPr>
          <w:sz w:val="20"/>
          <w:szCs w:val="20"/>
          <w:color w:val="auto"/>
        </w:rPr>
      </w:pPr>
      <w:r>
        <w:rPr>
          <w:rFonts w:ascii="Times New Roman" w:cs="Times New Roman" w:eastAsia="Times New Roman" w:hAnsi="Times New Roman"/>
          <w:sz w:val="16"/>
          <w:szCs w:val="16"/>
          <w:color w:val="auto"/>
        </w:rPr>
        <w:t>the amount or amounts paid or distributed thereon and all other facts pertinent thereto or to this Article 13.</w:t>
      </w:r>
    </w:p>
    <w:p>
      <w:pPr>
        <w:spacing w:after="0" w:line="108"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13.04 </w:t>
      </w:r>
      <w:r>
        <w:rPr>
          <w:rFonts w:ascii="Times New Roman" w:cs="Times New Roman" w:eastAsia="Times New Roman" w:hAnsi="Times New Roman"/>
          <w:sz w:val="16"/>
          <w:szCs w:val="16"/>
          <w:i w:val="1"/>
          <w:iCs w:val="1"/>
          <w:color w:val="auto"/>
        </w:rPr>
        <w:t>Authorization by Securityholders.</w:t>
      </w:r>
      <w:r>
        <w:rPr>
          <w:rFonts w:ascii="Times New Roman" w:cs="Times New Roman" w:eastAsia="Times New Roman" w:hAnsi="Times New Roman"/>
          <w:sz w:val="16"/>
          <w:szCs w:val="16"/>
          <w:color w:val="auto"/>
        </w:rPr>
        <w:t xml:space="preserve"> 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spacing w:after="0" w:line="125" w:lineRule="exact"/>
        <w:rPr>
          <w:sz w:val="20"/>
          <w:szCs w:val="20"/>
          <w:color w:val="auto"/>
        </w:rPr>
      </w:pPr>
    </w:p>
    <w:p>
      <w:pPr>
        <w:ind w:left="1340" w:right="137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13.05 </w:t>
      </w:r>
      <w:r>
        <w:rPr>
          <w:rFonts w:ascii="Times New Roman" w:cs="Times New Roman" w:eastAsia="Times New Roman" w:hAnsi="Times New Roman"/>
          <w:sz w:val="16"/>
          <w:szCs w:val="16"/>
          <w:i w:val="1"/>
          <w:iCs w:val="1"/>
          <w:color w:val="auto"/>
        </w:rPr>
        <w:t>Notice to Trustee.</w:t>
      </w:r>
      <w:r>
        <w:rPr>
          <w:rFonts w:ascii="Times New Roman" w:cs="Times New Roman" w:eastAsia="Times New Roman" w:hAnsi="Times New Roman"/>
          <w:sz w:val="16"/>
          <w:szCs w:val="16"/>
          <w:color w:val="auto"/>
        </w:rPr>
        <w:t xml:space="preserve"> The Issuer shall give prompt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48"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spacing w:after="0" w:line="131"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13.06 </w:t>
      </w:r>
      <w:r>
        <w:rPr>
          <w:rFonts w:ascii="Times New Roman" w:cs="Times New Roman" w:eastAsia="Times New Roman" w:hAnsi="Times New Roman"/>
          <w:sz w:val="16"/>
          <w:szCs w:val="16"/>
          <w:i w:val="1"/>
          <w:iCs w:val="1"/>
          <w:color w:val="auto"/>
        </w:rPr>
        <w:t>Trustee’s Relation to Senior Indebtedness.</w:t>
      </w:r>
      <w:r>
        <w:rPr>
          <w:rFonts w:ascii="Times New Roman" w:cs="Times New Roman" w:eastAsia="Times New Roman" w:hAnsi="Times New Roman"/>
          <w:sz w:val="16"/>
          <w:szCs w:val="16"/>
          <w:color w:val="auto"/>
        </w:rPr>
        <w:t xml:space="preserve">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7" w:name="page178"/>
    <w:bookmarkEnd w:id="177"/>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spacing w:after="0" w:line="132" w:lineRule="exact"/>
        <w:rPr>
          <w:sz w:val="20"/>
          <w:szCs w:val="20"/>
          <w:color w:val="auto"/>
        </w:rPr>
      </w:pPr>
    </w:p>
    <w:p>
      <w:pPr>
        <w:ind w:left="1340" w:right="143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13.07 </w:t>
      </w:r>
      <w:r>
        <w:rPr>
          <w:rFonts w:ascii="Times New Roman" w:cs="Times New Roman" w:eastAsia="Times New Roman" w:hAnsi="Times New Roman"/>
          <w:sz w:val="16"/>
          <w:szCs w:val="16"/>
          <w:i w:val="1"/>
          <w:iCs w:val="1"/>
          <w:color w:val="auto"/>
        </w:rPr>
        <w:t>No Impairment of Subordination.</w:t>
      </w:r>
      <w:r>
        <w:rPr>
          <w:rFonts w:ascii="Times New Roman" w:cs="Times New Roman" w:eastAsia="Times New Roman" w:hAnsi="Times New Roman"/>
          <w:sz w:val="16"/>
          <w:szCs w:val="16"/>
          <w:color w:val="auto"/>
        </w:rPr>
        <w:t xml:space="preserve"> 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spacing w:after="0" w:line="129" w:lineRule="exact"/>
        <w:rPr>
          <w:sz w:val="20"/>
          <w:szCs w:val="20"/>
          <w:color w:val="auto"/>
        </w:rPr>
      </w:pPr>
    </w:p>
    <w:p>
      <w:pPr>
        <w:ind w:left="1340" w:right="163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13.08 </w:t>
      </w:r>
      <w:r>
        <w:rPr>
          <w:rFonts w:ascii="Times New Roman" w:cs="Times New Roman" w:eastAsia="Times New Roman" w:hAnsi="Times New Roman"/>
          <w:sz w:val="16"/>
          <w:szCs w:val="16"/>
          <w:i w:val="1"/>
          <w:iCs w:val="1"/>
          <w:color w:val="auto"/>
        </w:rPr>
        <w:t>Rights of Trustee.</w:t>
      </w:r>
      <w:r>
        <w:rPr>
          <w:rFonts w:ascii="Times New Roman" w:cs="Times New Roman" w:eastAsia="Times New Roman" w:hAnsi="Times New Roman"/>
          <w:sz w:val="16"/>
          <w:szCs w:val="16"/>
          <w:color w:val="auto"/>
        </w:rPr>
        <w:t xml:space="preserve"> Nothing in this Article 13 shall apply to claims of or payments to, the Trustee pursuant to Section 6.06.</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8" w:name="page179"/>
    <w:bookmarkEnd w:id="178"/>
    <w:p>
      <w:pPr>
        <w:ind w:left="1340" w:right="1499"/>
        <w:spacing w:after="0" w:line="272" w:lineRule="auto"/>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_____________.</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XILIO THERAPEUTICS, INC.</w:t>
      </w:r>
    </w:p>
    <w:p>
      <w:pPr>
        <w:spacing w:after="0" w:line="18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12065</wp:posOffset>
            </wp:positionV>
            <wp:extent cx="231584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ind w:left="35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15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Attest:</w:t>
      </w:r>
    </w:p>
    <w:p>
      <w:pPr>
        <w:spacing w:after="0" w:line="18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12065</wp:posOffset>
            </wp:positionV>
            <wp:extent cx="231584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ind w:left="35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15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______________________________, Trustee</w:t>
      </w:r>
    </w:p>
    <w:p>
      <w:pPr>
        <w:spacing w:after="0" w:line="18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12065</wp:posOffset>
            </wp:positionV>
            <wp:extent cx="231584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ind w:left="35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9" w:name="page180"/>
    <w:bookmarkEnd w:id="179"/>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Form of Senior Note</w:t>
      </w:r>
    </w:p>
    <w:p>
      <w:pPr>
        <w:spacing w:after="0" w:line="1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u w:val="single" w:color="auto"/>
          <w:color w:val="auto"/>
        </w:rPr>
        <w:t>(FACE OF SECURITY)</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[Each Global Security shall bear substantially the following legend:</w:t>
      </w:r>
    </w:p>
    <w:p>
      <w:pPr>
        <w:spacing w:after="0" w:line="165" w:lineRule="exact"/>
        <w:rPr>
          <w:sz w:val="20"/>
          <w:szCs w:val="20"/>
          <w:color w:val="auto"/>
        </w:rPr>
      </w:pPr>
    </w:p>
    <w:p>
      <w:pPr>
        <w:ind w:left="1340" w:right="1379"/>
        <w:spacing w:after="0" w:line="243" w:lineRule="auto"/>
        <w:rPr>
          <w:sz w:val="20"/>
          <w:szCs w:val="20"/>
          <w:color w:val="auto"/>
        </w:rPr>
      </w:pPr>
      <w:r>
        <w:rPr>
          <w:rFonts w:ascii="Times New Roman" w:cs="Times New Roman" w:eastAsia="Times New Roman" w:hAnsi="Times New Roman"/>
          <w:sz w:val="14"/>
          <w:szCs w:val="14"/>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If the Security has original issue discount for U.S. federal income tax purposes, insert tax legend:</w:t>
      </w:r>
    </w:p>
    <w:p>
      <w:pPr>
        <w:spacing w:after="0" w:line="163" w:lineRule="exact"/>
        <w:rPr>
          <w:sz w:val="20"/>
          <w:szCs w:val="20"/>
          <w:color w:val="auto"/>
        </w:rPr>
      </w:pPr>
    </w:p>
    <w:p>
      <w:pPr>
        <w:ind w:left="1340" w:right="1399"/>
        <w:spacing w:after="0" w:line="29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FOR PURPOSES OF SECTIONS 1272, 1273 AND 1275 OF THE INTERNAL REVENUE CODE OF 1986, AS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Title of Security ]</w:t>
      </w:r>
    </w:p>
    <w:p>
      <w:pPr>
        <w:sectPr>
          <w:pgSz w:w="11900" w:h="16838" w:orient="portrait"/>
          <w:cols w:equalWidth="0" w:num="1">
            <w:col w:w="9019"/>
          </w:cols>
          <w:pgMar w:left="1440" w:top="1257" w:right="1440" w:bottom="1440" w:gutter="0" w:footer="0" w:header="0"/>
        </w:sectPr>
      </w:pP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0"/>
          <w:szCs w:val="10"/>
          <w:color w:val="auto"/>
        </w:rPr>
        <w:t>No. [ </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CUSIP No.: [ </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[Common Code][ISIN]: [ </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3" w:lineRule="exact"/>
        <w:rPr>
          <w:sz w:val="20"/>
          <w:szCs w:val="20"/>
          <w:color w:val="auto"/>
        </w:rPr>
      </w:pPr>
    </w:p>
    <w:p>
      <w:pPr>
        <w:sectPr>
          <w:pgSz w:w="11900" w:h="16838" w:orient="portrait"/>
          <w:cols w:equalWidth="0" w:num="4">
            <w:col w:w="1660" w:space="100"/>
            <w:col w:w="3620" w:space="720"/>
            <w:col w:w="1420" w:space="100"/>
            <w:col w:w="1399"/>
          </w:cols>
          <w:pgMar w:left="1440" w:top="1257" w:right="1440"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2"/>
          <w:szCs w:val="12"/>
          <w:color w:val="auto"/>
        </w:rPr>
        <w:t>Xilio Therapeutics, Inc., a Delaware corporation (the “Issuer”, which term includes any successor</w:t>
      </w:r>
    </w:p>
    <w:p>
      <w:pPr>
        <w:sectPr>
          <w:pgSz w:w="11900" w:h="16838" w:orient="portrait"/>
          <w:cols w:equalWidth="0" w:num="1">
            <w:col w:w="9019"/>
          </w:cols>
          <w:pgMar w:left="1440" w:top="1257" w:right="1440" w:bottom="1440" w:gutter="0" w:footer="0" w:header="0"/>
          <w:type w:val="continuous"/>
        </w:sectPr>
      </w:pPr>
    </w:p>
    <w:p>
      <w:pPr>
        <w:spacing w:after="0" w:line="24" w:lineRule="exact"/>
        <w:rPr>
          <w:sz w:val="20"/>
          <w:szCs w:val="20"/>
          <w:color w:val="auto"/>
        </w:rPr>
      </w:pPr>
    </w:p>
    <w:p>
      <w:pPr>
        <w:ind w:left="1340" w:right="1679"/>
        <w:spacing w:after="0" w:line="281" w:lineRule="auto"/>
        <w:rPr>
          <w:sz w:val="20"/>
          <w:szCs w:val="20"/>
          <w:color w:val="auto"/>
        </w:rPr>
      </w:pPr>
      <w:r>
        <w:rPr>
          <w:rFonts w:ascii="Times New Roman" w:cs="Times New Roman" w:eastAsia="Times New Roman" w:hAnsi="Times New Roman"/>
          <w:sz w:val="12"/>
          <w:szCs w:val="12"/>
          <w:color w:val="auto"/>
        </w:rPr>
        <w:t>corporation), for value received promises to pay to [</w:t>
      </w:r>
      <w:r>
        <w:rPr>
          <w:rFonts w:ascii="Times New Roman" w:cs="Times New Roman" w:eastAsia="Times New Roman" w:hAnsi="Times New Roman"/>
          <w:sz w:val="12"/>
          <w:szCs w:val="12"/>
          <w:i w:val="1"/>
          <w:iCs w:val="1"/>
          <w:color w:val="auto"/>
        </w:rPr>
        <w:t>If the Security is a Global Security —</w:t>
      </w:r>
      <w:r>
        <w:rPr>
          <w:rFonts w:ascii="Times New Roman" w:cs="Times New Roman" w:eastAsia="Times New Roman" w:hAnsi="Times New Roman"/>
          <w:sz w:val="12"/>
          <w:szCs w:val="12"/>
          <w:color w:val="auto"/>
        </w:rPr>
        <w:t xml:space="preserve"> CEDE &amp; CO.][</w:t>
      </w:r>
      <w:r>
        <w:rPr>
          <w:rFonts w:ascii="Times New Roman" w:cs="Times New Roman" w:eastAsia="Times New Roman" w:hAnsi="Times New Roman"/>
          <w:sz w:val="12"/>
          <w:szCs w:val="12"/>
          <w:i w:val="1"/>
          <w:iCs w:val="1"/>
          <w:color w:val="auto"/>
        </w:rPr>
        <w:t>If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Security is not a Global Security — __________</w:t>
      </w:r>
      <w:r>
        <w:rPr>
          <w:rFonts w:ascii="Times New Roman" w:cs="Times New Roman" w:eastAsia="Times New Roman" w:hAnsi="Times New Roman"/>
          <w:sz w:val="12"/>
          <w:szCs w:val="12"/>
          <w:color w:val="auto"/>
        </w:rPr>
        <w:t>] or registered assigns, the principal sum of __________ on</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__________,____ (the “Maturity Date”) [</w:t>
      </w:r>
      <w:r>
        <w:rPr>
          <w:rFonts w:ascii="Times New Roman" w:cs="Times New Roman" w:eastAsia="Times New Roman" w:hAnsi="Times New Roman"/>
          <w:sz w:val="14"/>
          <w:szCs w:val="14"/>
          <w:i w:val="1"/>
          <w:iCs w:val="1"/>
          <w:color w:val="auto"/>
        </w:rPr>
        <w:t>If the Security is to bear interest prior to maturity, insert—</w:t>
      </w:r>
      <w:r>
        <w:rPr>
          <w:rFonts w:ascii="Times New Roman" w:cs="Times New Roman" w:eastAsia="Times New Roman" w:hAnsi="Times New Roman"/>
          <w:sz w:val="14"/>
          <w:szCs w:val="14"/>
          <w:color w:val="auto"/>
        </w:rPr>
        <w:t>, and to pay</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interest thereon from _____________ or from the most recent interest payment date to which interest has been paid</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or duly provided for, </w:t>
      </w:r>
      <w:r>
        <w:rPr>
          <w:rFonts w:ascii="Times New Roman" w:cs="Times New Roman" w:eastAsia="Times New Roman" w:hAnsi="Times New Roman"/>
          <w:sz w:val="12"/>
          <w:szCs w:val="12"/>
          <w:i w:val="1"/>
          <w:iCs w:val="1"/>
          <w:color w:val="auto"/>
        </w:rPr>
        <w:t>[semiannually in arrears on ______ and ______ in each year</w:t>
      </w:r>
      <w:r>
        <w:rPr>
          <w:rFonts w:ascii="Times New Roman" w:cs="Times New Roman" w:eastAsia="Times New Roman" w:hAnsi="Times New Roman"/>
          <w:sz w:val="12"/>
          <w:szCs w:val="12"/>
          <w:color w:val="auto"/>
        </w:rPr>
        <w:t>], commencing _________, ____</w:t>
      </w:r>
    </w:p>
    <w:p>
      <w:pPr>
        <w:spacing w:after="0" w:line="24" w:lineRule="exact"/>
        <w:rPr>
          <w:sz w:val="20"/>
          <w:szCs w:val="20"/>
          <w:color w:val="auto"/>
        </w:rPr>
      </w:pPr>
    </w:p>
    <w:p>
      <w:pPr>
        <w:ind w:left="1340" w:right="1419"/>
        <w:spacing w:after="0" w:line="281" w:lineRule="auto"/>
        <w:rPr>
          <w:sz w:val="20"/>
          <w:szCs w:val="20"/>
          <w:color w:val="auto"/>
        </w:rPr>
      </w:pPr>
      <w:r>
        <w:rPr>
          <w:rFonts w:ascii="Times New Roman" w:cs="Times New Roman" w:eastAsia="Times New Roman" w:hAnsi="Times New Roman"/>
          <w:sz w:val="12"/>
          <w:szCs w:val="12"/>
          <w:color w:val="auto"/>
        </w:rPr>
        <w:t>(each, an “Interest Payment Date”) at the rate of [</w:t>
      </w:r>
      <w:r>
        <w:rPr>
          <w:rFonts w:ascii="Times New Roman" w:cs="Times New Roman" w:eastAsia="Times New Roman" w:hAnsi="Times New Roman"/>
          <w:sz w:val="12"/>
          <w:szCs w:val="12"/>
          <w:i w:val="1"/>
          <w:iCs w:val="1"/>
          <w:color w:val="auto"/>
        </w:rPr>
        <w:t>___% per annum</w:t>
      </w:r>
      <w:r>
        <w:rPr>
          <w:rFonts w:ascii="Times New Roman" w:cs="Times New Roman" w:eastAsia="Times New Roman" w:hAnsi="Times New Roman"/>
          <w:sz w:val="12"/>
          <w:szCs w:val="12"/>
          <w:color w:val="auto"/>
        </w:rPr>
        <w:t>], until the principal hereof is paid or made available for payment [</w:t>
      </w:r>
      <w:r>
        <w:rPr>
          <w:rFonts w:ascii="Times New Roman" w:cs="Times New Roman" w:eastAsia="Times New Roman" w:hAnsi="Times New Roman"/>
          <w:sz w:val="12"/>
          <w:szCs w:val="12"/>
          <w:i w:val="1"/>
          <w:iCs w:val="1"/>
          <w:color w:val="auto"/>
        </w:rPr>
        <w:t>If applicable insert—,</w:t>
      </w:r>
      <w:r>
        <w:rPr>
          <w:rFonts w:ascii="Times New Roman" w:cs="Times New Roman" w:eastAsia="Times New Roman" w:hAnsi="Times New Roman"/>
          <w:sz w:val="12"/>
          <w:szCs w:val="12"/>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________ (whether or not a Business Day), as the case may be, next preceding such Interest Payment Date (each, an</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“Interest Record Date”). Interest will be computed on the basis of [</w:t>
      </w:r>
      <w:r>
        <w:rPr>
          <w:rFonts w:ascii="Times New Roman" w:cs="Times New Roman" w:eastAsia="Times New Roman" w:hAnsi="Times New Roman"/>
          <w:sz w:val="14"/>
          <w:szCs w:val="14"/>
          <w:i w:val="1"/>
          <w:iCs w:val="1"/>
          <w:color w:val="auto"/>
        </w:rPr>
        <w:t>a 360-day year of twelve 30-day months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340" w:right="1419" w:firstLine="486"/>
        <w:spacing w:after="0" w:line="34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If the Security is not to bear interest prior to maturity, insert—</w:t>
      </w:r>
      <w:r>
        <w:rPr>
          <w:rFonts w:ascii="Times New Roman" w:cs="Times New Roman" w:eastAsia="Times New Roman" w:hAnsi="Times New Roman"/>
          <w:sz w:val="12"/>
          <w:szCs w:val="12"/>
          <w:color w:val="auto"/>
        </w:rPr>
        <w:t>The principal of this Security shall not bear interest except in the case of a default in payment of principal upon acceleration, upon redemption or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720090</wp:posOffset>
            </wp:positionV>
            <wp:extent cx="528764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type w:val="continuous"/>
        </w:sectPr>
      </w:pPr>
    </w:p>
    <w:bookmarkStart w:id="180" w:name="page181"/>
    <w:bookmarkEnd w:id="180"/>
    <w:p>
      <w:pPr>
        <w:ind w:left="1340" w:right="1379"/>
        <w:spacing w:after="0" w:line="248" w:lineRule="auto"/>
        <w:rPr>
          <w:sz w:val="20"/>
          <w:szCs w:val="20"/>
          <w:color w:val="auto"/>
        </w:rPr>
      </w:pPr>
      <w:r>
        <w:rPr>
          <w:rFonts w:ascii="Times New Roman" w:cs="Times New Roman" w:eastAsia="Times New Roman" w:hAnsi="Times New Roman"/>
          <w:sz w:val="14"/>
          <w:szCs w:val="14"/>
          <w:color w:val="auto"/>
        </w:rPr>
        <w:t>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45" w:lineRule="exact"/>
        <w:rPr>
          <w:sz w:val="20"/>
          <w:szCs w:val="20"/>
          <w:color w:val="auto"/>
        </w:rPr>
      </w:pPr>
    </w:p>
    <w:p>
      <w:pPr>
        <w:ind w:left="1340" w:right="1399" w:firstLine="486"/>
        <w:spacing w:after="0" w:line="261" w:lineRule="auto"/>
        <w:rPr>
          <w:sz w:val="20"/>
          <w:szCs w:val="20"/>
          <w:color w:val="auto"/>
        </w:rPr>
      </w:pPr>
      <w:r>
        <w:rPr>
          <w:rFonts w:ascii="Times New Roman" w:cs="Times New Roman" w:eastAsia="Times New Roman" w:hAnsi="Times New Roman"/>
          <w:sz w:val="14"/>
          <w:szCs w:val="14"/>
          <w:color w:val="auto"/>
        </w:rPr>
        <w:t>Reference is made to the further provisions set forth on the reverse of this Security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181" w:name="page182"/>
    <w:bookmarkEnd w:id="181"/>
    <w:p>
      <w:pPr>
        <w:ind w:left="1340" w:right="1439" w:firstLine="486"/>
        <w:spacing w:after="0" w:line="261" w:lineRule="auto"/>
        <w:rPr>
          <w:sz w:val="20"/>
          <w:szCs w:val="20"/>
          <w:color w:val="auto"/>
        </w:rPr>
      </w:pPr>
      <w:r>
        <w:rPr>
          <w:rFonts w:ascii="Times New Roman" w:cs="Times New Roman" w:eastAsia="Times New Roman" w:hAnsi="Times New Roman"/>
          <w:sz w:val="14"/>
          <w:szCs w:val="14"/>
          <w:color w:val="auto"/>
        </w:rPr>
        <w:t>IN WITNESS WHEREOF, the Issuer has caused this Security to be signed manually or by facsimile by its duly authorized officer under its corporate seal.</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6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-10160</wp:posOffset>
            </wp:positionV>
            <wp:extent cx="4762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ind w:left="426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Title:</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Attest:</w:t>
      </w:r>
    </w:p>
    <w:p>
      <w:pPr>
        <w:spacing w:after="0" w:line="200" w:lineRule="exact"/>
        <w:rPr>
          <w:sz w:val="20"/>
          <w:szCs w:val="20"/>
          <w:color w:val="auto"/>
        </w:rPr>
      </w:pPr>
    </w:p>
    <w:p>
      <w:pPr>
        <w:spacing w:after="0" w:line="2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-10160</wp:posOffset>
            </wp:positionV>
            <wp:extent cx="4762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75" w:lineRule="exact"/>
        <w:rPr>
          <w:sz w:val="20"/>
          <w:szCs w:val="20"/>
          <w:color w:val="auto"/>
        </w:rPr>
      </w:pPr>
    </w:p>
    <w:p>
      <w:pPr>
        <w:ind w:left="1340" w:right="1859" w:firstLine="486"/>
        <w:spacing w:after="0" w:line="261" w:lineRule="auto"/>
        <w:rPr>
          <w:sz w:val="20"/>
          <w:szCs w:val="20"/>
          <w:color w:val="auto"/>
        </w:rPr>
      </w:pPr>
      <w:r>
        <w:rPr>
          <w:rFonts w:ascii="Times New Roman" w:cs="Times New Roman" w:eastAsia="Times New Roman" w:hAnsi="Times New Roman"/>
          <w:sz w:val="14"/>
          <w:szCs w:val="14"/>
          <w:color w:val="auto"/>
        </w:rPr>
        <w:t>This is one of the Securities of the series designated herein and referred to in the within-mentioned Indenture.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Dated: [______________]</w:t>
      </w:r>
    </w:p>
    <w:p>
      <w:pPr>
        <w:spacing w:after="0" w:line="200" w:lineRule="exact"/>
        <w:rPr>
          <w:sz w:val="20"/>
          <w:szCs w:val="20"/>
          <w:color w:val="auto"/>
        </w:rPr>
      </w:pPr>
    </w:p>
    <w:p>
      <w:pPr>
        <w:spacing w:after="0" w:line="28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color w:val="auto"/>
        </w:rPr>
        <w:t>___________________, as Trustee</w:t>
      </w:r>
    </w:p>
    <w:p>
      <w:pPr>
        <w:spacing w:after="0" w:line="18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-10160</wp:posOffset>
            </wp:positionV>
            <wp:extent cx="4762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ind w:left="7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760095</wp:posOffset>
            </wp:positionV>
            <wp:extent cx="528764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4"/>
          <w:szCs w:val="14"/>
          <w:b w:val="1"/>
          <w:bCs w:val="1"/>
          <w:color w:val="auto"/>
        </w:rPr>
        <w:t>(REVERSE OF SECURITY)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XILIO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Title of Security ]</w:t>
      </w:r>
    </w:p>
    <w:p>
      <w:pPr>
        <w:spacing w:after="0" w:line="167" w:lineRule="exact"/>
        <w:rPr>
          <w:sz w:val="20"/>
          <w:szCs w:val="20"/>
          <w:color w:val="auto"/>
        </w:rPr>
      </w:pPr>
    </w:p>
    <w:p>
      <w:pPr>
        <w:ind w:left="1820" w:hanging="234"/>
        <w:spacing w:after="0"/>
        <w:tabs>
          <w:tab w:leader="none" w:pos="18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Security is one of a duly authorized issue of debentures, notes or other evidence of indebtedness</w:t>
      </w:r>
    </w:p>
    <w:p>
      <w:pPr>
        <w:spacing w:after="0" w:line="1" w:lineRule="exact"/>
        <w:rPr>
          <w:sz w:val="20"/>
          <w:szCs w:val="20"/>
          <w:color w:val="auto"/>
        </w:rPr>
      </w:pPr>
    </w:p>
    <w:p>
      <w:pPr>
        <w:ind w:left="1340" w:right="1359"/>
        <w:spacing w:after="0" w:line="281" w:lineRule="auto"/>
        <w:rPr>
          <w:sz w:val="20"/>
          <w:szCs w:val="20"/>
          <w:color w:val="auto"/>
        </w:rPr>
      </w:pPr>
      <w:r>
        <w:rPr>
          <w:rFonts w:ascii="Times New Roman" w:cs="Times New Roman" w:eastAsia="Times New Roman" w:hAnsi="Times New Roman"/>
          <w:sz w:val="12"/>
          <w:szCs w:val="12"/>
          <w:color w:val="auto"/>
        </w:rPr>
        <w:t>(hereinafter called the “Securities”) of the Issuer of the series hereinafter specified, which series is initially limited in aggregate principal amount to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]____________, all of such Securities issued and to be issued under an Indenture</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dated as of ________, _____ (the “Indenture”) between the Issuer and __________________________ as trustee</w:t>
      </w:r>
    </w:p>
    <w:p>
      <w:pPr>
        <w:spacing w:after="0" w:line="24" w:lineRule="exact"/>
        <w:rPr>
          <w:sz w:val="20"/>
          <w:szCs w:val="20"/>
          <w:color w:val="auto"/>
        </w:rPr>
      </w:pPr>
    </w:p>
    <w:p>
      <w:pPr>
        <w:ind w:left="1340" w:right="1439"/>
        <w:spacing w:after="0" w:line="241" w:lineRule="auto"/>
        <w:rPr>
          <w:sz w:val="20"/>
          <w:szCs w:val="20"/>
          <w:color w:val="auto"/>
        </w:rPr>
      </w:pPr>
      <w:r>
        <w:rPr>
          <w:rFonts w:ascii="Times New Roman" w:cs="Times New Roman" w:eastAsia="Times New Roman" w:hAnsi="Times New Roman"/>
          <w:sz w:val="14"/>
          <w:szCs w:val="14"/>
          <w:color w:val="auto"/>
        </w:rPr>
        <w:t>(the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51" w:lineRule="exact"/>
        <w:rPr>
          <w:sz w:val="20"/>
          <w:szCs w:val="20"/>
          <w:color w:val="auto"/>
        </w:rPr>
      </w:pPr>
    </w:p>
    <w:p>
      <w:pPr>
        <w:ind w:left="1340" w:right="1639" w:firstLine="486"/>
        <w:spacing w:after="0" w:line="294" w:lineRule="auto"/>
        <w:rPr>
          <w:sz w:val="20"/>
          <w:szCs w:val="20"/>
          <w:color w:val="auto"/>
        </w:rPr>
      </w:pPr>
      <w:r>
        <w:rPr>
          <w:rFonts w:ascii="Times New Roman" w:cs="Times New Roman" w:eastAsia="Times New Roman" w:hAnsi="Times New Roman"/>
          <w:sz w:val="12"/>
          <w:szCs w:val="12"/>
          <w:color w:val="auto"/>
        </w:rPr>
        <w:t>This Security is one of a series of Securities designated pursuant to the Indenture [and a [</w:t>
      </w:r>
      <w:r>
        <w:rPr>
          <w:rFonts w:ascii="Times New Roman" w:cs="Times New Roman" w:eastAsia="Times New Roman" w:hAnsi="Times New Roman"/>
          <w:sz w:val="12"/>
          <w:szCs w:val="12"/>
          <w:i w:val="1"/>
          <w:iCs w:val="1"/>
          <w:color w:val="auto"/>
        </w:rPr>
        <w:t>Supplemental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Indenture</w:t>
      </w:r>
      <w:r>
        <w:rPr>
          <w:rFonts w:ascii="Times New Roman" w:cs="Times New Roman" w:eastAsia="Times New Roman" w:hAnsi="Times New Roman"/>
          <w:sz w:val="12"/>
          <w:szCs w:val="12"/>
          <w:color w:val="auto"/>
        </w:rPr>
        <w:t>] dated _____, _____, issued pursuant to Section 2.01 and Section 2.03 thereof (the “Supplemental</w:t>
      </w:r>
    </w:p>
    <w:p>
      <w:pPr>
        <w:ind w:left="1340"/>
        <w:spacing w:after="0"/>
        <w:rPr>
          <w:sz w:val="20"/>
          <w:szCs w:val="20"/>
          <w:color w:val="auto"/>
        </w:rPr>
      </w:pPr>
      <w:r>
        <w:rPr>
          <w:rFonts w:ascii="Times New Roman" w:cs="Times New Roman" w:eastAsia="Times New Roman" w:hAnsi="Times New Roman"/>
          <w:sz w:val="12"/>
          <w:szCs w:val="12"/>
          <w:color w:val="auto"/>
        </w:rPr>
        <w:t>Indenture”)] as ________________. The Securities are general unsecured obligations of the Issuer. The Issuer may,</w:t>
      </w:r>
    </w:p>
    <w:p>
      <w:pPr>
        <w:spacing w:after="0" w:line="24" w:lineRule="exact"/>
        <w:rPr>
          <w:sz w:val="20"/>
          <w:szCs w:val="20"/>
          <w:color w:val="auto"/>
        </w:rPr>
      </w:pPr>
    </w:p>
    <w:p>
      <w:pPr>
        <w:ind w:left="1340" w:right="1679"/>
        <w:spacing w:after="0" w:line="243" w:lineRule="auto"/>
        <w:rPr>
          <w:sz w:val="20"/>
          <w:szCs w:val="20"/>
          <w:color w:val="auto"/>
        </w:rPr>
      </w:pPr>
      <w:r>
        <w:rPr>
          <w:rFonts w:ascii="Times New Roman" w:cs="Times New Roman" w:eastAsia="Times New Roman" w:hAnsi="Times New Roman"/>
          <w:sz w:val="14"/>
          <w:szCs w:val="14"/>
          <w:color w:val="auto"/>
        </w:rPr>
        <w:t>subject to the provisions of the Indenture and applicable law, issue additional Securities of any series under the Indenture.</w:t>
      </w:r>
    </w:p>
    <w:p>
      <w:pPr>
        <w:spacing w:after="0" w:line="148" w:lineRule="exact"/>
        <w:rPr>
          <w:sz w:val="20"/>
          <w:szCs w:val="20"/>
          <w:color w:val="auto"/>
        </w:rPr>
      </w:pPr>
    </w:p>
    <w:p>
      <w:pPr>
        <w:ind w:left="1820" w:hanging="234"/>
        <w:spacing w:after="0"/>
        <w:tabs>
          <w:tab w:leader="none" w:pos="18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Method of Payment.</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shall pay interest on the Securities (except defaulted interest) to the persons who are the</w:t>
      </w:r>
    </w:p>
    <w:p>
      <w:pPr>
        <w:spacing w:after="0" w:line="1" w:lineRule="exact"/>
        <w:rPr>
          <w:sz w:val="20"/>
          <w:szCs w:val="20"/>
          <w:color w:val="auto"/>
        </w:rPr>
      </w:pPr>
    </w:p>
    <w:p>
      <w:pPr>
        <w:ind w:left="1340" w:right="1359"/>
        <w:spacing w:after="0" w:line="281" w:lineRule="auto"/>
        <w:rPr>
          <w:sz w:val="20"/>
          <w:szCs w:val="20"/>
          <w:color w:val="auto"/>
        </w:rPr>
      </w:pPr>
      <w:r>
        <w:rPr>
          <w:rFonts w:ascii="Times New Roman" w:cs="Times New Roman" w:eastAsia="Times New Roman" w:hAnsi="Times New Roman"/>
          <w:sz w:val="12"/>
          <w:szCs w:val="12"/>
          <w:color w:val="auto"/>
        </w:rPr>
        <w:t>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 w:cs="Times New Roman" w:eastAsia="Times New Roman" w:hAnsi="Times New Roman"/>
          <w:sz w:val="12"/>
          <w:szCs w:val="12"/>
          <w:i w:val="1"/>
          <w:iCs w:val="1"/>
          <w:color w:val="auto"/>
        </w:rPr>
        <w:t>the United States</w:t>
      </w:r>
      <w:r>
        <w:rPr>
          <w:rFonts w:ascii="Times New Roman" w:cs="Times New Roman" w:eastAsia="Times New Roman" w:hAnsi="Times New Roman"/>
          <w:sz w:val="12"/>
          <w:szCs w:val="12"/>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 w:cs="Times New Roman" w:eastAsia="Times New Roman" w:hAnsi="Times New Roman"/>
          <w:sz w:val="12"/>
          <w:szCs w:val="12"/>
          <w:i w:val="1"/>
          <w:iCs w:val="1"/>
          <w:color w:val="auto"/>
        </w:rPr>
        <w:t>a./p.m.</w:t>
      </w:r>
      <w:r>
        <w:rPr>
          <w:rFonts w:ascii="Times New Roman" w:cs="Times New Roman" w:eastAsia="Times New Roman" w:hAnsi="Times New Roman"/>
          <w:sz w:val="12"/>
          <w:szCs w:val="12"/>
          <w:color w:val="auto"/>
        </w:rPr>
        <w:t>], New</w:t>
      </w:r>
    </w:p>
    <w:p>
      <w:pPr>
        <w:spacing w:after="0" w:line="4"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4"/>
          <w:szCs w:val="14"/>
          <w:color w:val="auto"/>
        </w:rPr>
        <w:t>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53" w:lineRule="exact"/>
        <w:rPr>
          <w:sz w:val="20"/>
          <w:szCs w:val="20"/>
          <w:color w:val="auto"/>
        </w:rPr>
      </w:pPr>
    </w:p>
    <w:p>
      <w:pPr>
        <w:ind w:left="1820" w:hanging="234"/>
        <w:spacing w:after="0"/>
        <w:tabs>
          <w:tab w:leader="none" w:pos="18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Securities of this series may be redeemed at any time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on or after ______, ______</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as a whole or in</w:t>
      </w:r>
    </w:p>
    <w:p>
      <w:pPr>
        <w:spacing w:after="0" w:line="24" w:lineRule="exact"/>
        <w:rPr>
          <w:sz w:val="20"/>
          <w:szCs w:val="20"/>
          <w:color w:val="auto"/>
        </w:rPr>
      </w:pPr>
    </w:p>
    <w:p>
      <w:pPr>
        <w:ind w:left="1340" w:right="1419"/>
        <w:spacing w:after="0" w:line="243" w:lineRule="auto"/>
        <w:rPr>
          <w:sz w:val="20"/>
          <w:szCs w:val="20"/>
          <w:color w:val="auto"/>
        </w:rPr>
      </w:pPr>
      <w:r>
        <w:rPr>
          <w:rFonts w:ascii="Times New Roman" w:cs="Times New Roman" w:eastAsia="Times New Roman" w:hAnsi="Times New Roman"/>
          <w:sz w:val="14"/>
          <w:szCs w:val="14"/>
          <w:i w:val="1"/>
          <w:iCs w:val="1"/>
          <w:color w:val="auto"/>
        </w:rPr>
        <w:t>part, at the option of the Issuer, upon mailing notice of such redemption not less than 10 and not more than 60 days to the Holders of such Securities, at a redemption price equal to ___________</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1820" w:hanging="234"/>
        <w:spacing w:after="0"/>
        <w:tabs>
          <w:tab w:leader="none" w:pos="18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Agent and Security Registrar</w:t>
      </w:r>
    </w:p>
    <w:p>
      <w:pPr>
        <w:spacing w:after="0" w:line="13"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4"/>
          <w:szCs w:val="14"/>
          <w:color w:val="auto"/>
        </w:rPr>
        <w:t>Initially, [the Trustee] will act as Paying Agent and Security Registrar. The Issuer may change any Paying Agent or Security Registrar without notice to the Holders.</w:t>
      </w:r>
    </w:p>
    <w:p>
      <w:pPr>
        <w:spacing w:after="0" w:line="148" w:lineRule="exact"/>
        <w:rPr>
          <w:sz w:val="20"/>
          <w:szCs w:val="20"/>
          <w:color w:val="auto"/>
        </w:rPr>
      </w:pPr>
    </w:p>
    <w:p>
      <w:pPr>
        <w:ind w:left="1820" w:hanging="234"/>
        <w:spacing w:after="0"/>
        <w:tabs>
          <w:tab w:leader="none" w:pos="18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Denominations; Transfer; Exchange.</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in registered form, without coupons, in denominations of [</w:t>
      </w:r>
      <w:r>
        <w:rPr>
          <w:rFonts w:ascii="Times New Roman" w:cs="Times New Roman" w:eastAsia="Times New Roman" w:hAnsi="Times New Roman"/>
          <w:sz w:val="14"/>
          <w:szCs w:val="14"/>
          <w:i w:val="1"/>
          <w:iCs w:val="1"/>
          <w:color w:val="auto"/>
        </w:rPr>
        <w:t>$2,000</w:t>
      </w:r>
      <w:r>
        <w:rPr>
          <w:rFonts w:ascii="Times New Roman" w:cs="Times New Roman" w:eastAsia="Times New Roman" w:hAnsi="Times New Roman"/>
          <w:sz w:val="14"/>
          <w:szCs w:val="14"/>
          <w:color w:val="auto"/>
        </w:rPr>
        <w:t>] and multiples of</w:t>
      </w:r>
    </w:p>
    <w:p>
      <w:pPr>
        <w:spacing w:after="0" w:line="1" w:lineRule="exact"/>
        <w:rPr>
          <w:sz w:val="20"/>
          <w:szCs w:val="20"/>
          <w:color w:val="auto"/>
        </w:rPr>
      </w:pPr>
    </w:p>
    <w:p>
      <w:pPr>
        <w:ind w:left="1340" w:right="1359"/>
        <w:spacing w:after="0" w:line="29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$1,000</w:t>
      </w:r>
      <w:r>
        <w:rPr>
          <w:rFonts w:ascii="Times New Roman" w:cs="Times New Roman" w:eastAsia="Times New Roman" w:hAnsi="Times New Roman"/>
          <w:sz w:val="12"/>
          <w:szCs w:val="12"/>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Times New Roman" w:cs="Times New Roman" w:eastAsia="Times New Roman" w:hAnsi="Times New Roman"/>
          <w:sz w:val="12"/>
          <w:szCs w:val="12"/>
          <w:i w:val="1"/>
          <w:iCs w:val="1"/>
          <w:color w:val="auto"/>
        </w:rPr>
        <w:t>The Issuer need not register the transfer of or exchange (a) any Securities for a period of fifteen (15) days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preceding the first notice that such Securities are to be redeemed, or (b) any Securities selected, called or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741045</wp:posOffset>
            </wp:positionV>
            <wp:extent cx="528764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sectPr>
      </w:pPr>
    </w:p>
    <w:bookmarkStart w:id="183" w:name="page184"/>
    <w:bookmarkEnd w:id="183"/>
    <w:p>
      <w:pPr>
        <w:ind w:left="1340" w:right="1639"/>
        <w:spacing w:after="0" w:line="264" w:lineRule="auto"/>
        <w:rPr>
          <w:sz w:val="20"/>
          <w:szCs w:val="20"/>
          <w:color w:val="auto"/>
        </w:rPr>
      </w:pPr>
      <w:r>
        <w:rPr>
          <w:rFonts w:ascii="Times New Roman" w:cs="Times New Roman" w:eastAsia="Times New Roman" w:hAnsi="Times New Roman"/>
          <w:sz w:val="14"/>
          <w:szCs w:val="14"/>
          <w:i w:val="1"/>
          <w:iCs w:val="1"/>
          <w:color w:val="auto"/>
        </w:rPr>
        <w:t>called for redemption in whole or in part, except, in the case of any Security to be redeemed in part, the portion thereof not to be so redeemed.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820" w:hanging="234"/>
        <w:spacing w:after="0"/>
        <w:tabs>
          <w:tab w:leader="none" w:pos="18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Owners.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a Security shall be treated as the owner of it for all purposes.</w:t>
      </w:r>
    </w:p>
    <w:p>
      <w:pPr>
        <w:spacing w:after="0" w:line="150" w:lineRule="exact"/>
        <w:rPr>
          <w:rFonts w:ascii="Times New Roman" w:cs="Times New Roman" w:eastAsia="Times New Roman" w:hAnsi="Times New Roman"/>
          <w:sz w:val="14"/>
          <w:szCs w:val="14"/>
          <w:color w:val="auto"/>
        </w:rPr>
      </w:pPr>
    </w:p>
    <w:p>
      <w:pPr>
        <w:ind w:left="1820" w:hanging="234"/>
        <w:spacing w:after="0"/>
        <w:tabs>
          <w:tab w:leader="none" w:pos="18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Unclaimed Funds.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If funds for the payment of principal or interest remain unclaimed for two years, the Trustee and the Paying</w:t>
      </w:r>
    </w:p>
    <w:p>
      <w:pPr>
        <w:spacing w:after="0" w:line="24" w:lineRule="exact"/>
        <w:rPr>
          <w:sz w:val="20"/>
          <w:szCs w:val="20"/>
          <w:color w:val="auto"/>
        </w:rPr>
      </w:pPr>
    </w:p>
    <w:p>
      <w:pPr>
        <w:ind w:left="1340" w:right="1399"/>
        <w:spacing w:after="0" w:line="243" w:lineRule="auto"/>
        <w:rPr>
          <w:sz w:val="20"/>
          <w:szCs w:val="20"/>
          <w:color w:val="auto"/>
        </w:rPr>
      </w:pPr>
      <w:r>
        <w:rPr>
          <w:rFonts w:ascii="Times New Roman" w:cs="Times New Roman" w:eastAsia="Times New Roman" w:hAnsi="Times New Roman"/>
          <w:sz w:val="14"/>
          <w:szCs w:val="14"/>
          <w:color w:val="auto"/>
        </w:rPr>
        <w:t>Agent will repay the funds to the Issuer. After that, all liability of the Trustee and such Paying Agent with respect to such funds shall cease.</w:t>
      </w:r>
    </w:p>
    <w:p>
      <w:pPr>
        <w:spacing w:after="0" w:line="148" w:lineRule="exact"/>
        <w:rPr>
          <w:sz w:val="20"/>
          <w:szCs w:val="20"/>
          <w:color w:val="auto"/>
        </w:rPr>
      </w:pPr>
    </w:p>
    <w:p>
      <w:pPr>
        <w:ind w:left="1820" w:hanging="234"/>
        <w:spacing w:after="0"/>
        <w:tabs>
          <w:tab w:leader="none" w:pos="18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w:t>
      </w:r>
    </w:p>
    <w:p>
      <w:pPr>
        <w:spacing w:after="0" w:line="13"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4"/>
          <w:szCs w:val="14"/>
          <w:color w:val="auto"/>
        </w:rPr>
        <w:t>The Indenture [</w:t>
      </w:r>
      <w:r>
        <w:rPr>
          <w:rFonts w:ascii="Times New Roman" w:cs="Times New Roman" w:eastAsia="Times New Roman" w:hAnsi="Times New Roman"/>
          <w:sz w:val="14"/>
          <w:szCs w:val="14"/>
          <w:i w:val="1"/>
          <w:iCs w:val="1"/>
          <w:color w:val="auto"/>
        </w:rPr>
        <w:t>as amended by the Supplemental Indenture</w:t>
      </w:r>
      <w:r>
        <w:rPr>
          <w:rFonts w:ascii="Times New Roman" w:cs="Times New Roman" w:eastAsia="Times New Roman" w:hAnsi="Times New Roman"/>
          <w:sz w:val="14"/>
          <w:szCs w:val="14"/>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Times New Roman" w:cs="Times New Roman" w:eastAsia="Times New Roman" w:hAnsi="Times New Roman"/>
          <w:sz w:val="14"/>
          <w:szCs w:val="14"/>
          <w:i w:val="1"/>
          <w:iCs w:val="1"/>
          <w:color w:val="auto"/>
        </w:rPr>
        <w:t>apply</w:t>
      </w:r>
      <w:r>
        <w:rPr>
          <w:rFonts w:ascii="Times New Roman" w:cs="Times New Roman" w:eastAsia="Times New Roman" w:hAnsi="Times New Roman"/>
          <w:sz w:val="14"/>
          <w:szCs w:val="14"/>
          <w:color w:val="auto"/>
        </w:rPr>
        <w:t>] to this Security.</w:t>
      </w:r>
    </w:p>
    <w:p>
      <w:pPr>
        <w:spacing w:after="0" w:line="149" w:lineRule="exact"/>
        <w:rPr>
          <w:sz w:val="20"/>
          <w:szCs w:val="20"/>
          <w:color w:val="auto"/>
        </w:rPr>
      </w:pPr>
    </w:p>
    <w:p>
      <w:pPr>
        <w:ind w:left="1820" w:hanging="234"/>
        <w:spacing w:after="0"/>
        <w:tabs>
          <w:tab w:leader="none" w:pos="18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 Supplement; Waiver.</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Subject to certain exceptions, the Securities of this series, [the Supplemental Indenture] and the provisions</w:t>
      </w:r>
    </w:p>
    <w:p>
      <w:pPr>
        <w:spacing w:after="0" w:line="24" w:lineRule="exact"/>
        <w:rPr>
          <w:sz w:val="20"/>
          <w:szCs w:val="20"/>
          <w:color w:val="auto"/>
        </w:rPr>
      </w:pPr>
    </w:p>
    <w:p>
      <w:pPr>
        <w:ind w:left="1340" w:right="1359"/>
        <w:spacing w:after="0" w:line="241" w:lineRule="auto"/>
        <w:rPr>
          <w:sz w:val="20"/>
          <w:szCs w:val="20"/>
          <w:color w:val="auto"/>
        </w:rPr>
      </w:pPr>
      <w:r>
        <w:rPr>
          <w:rFonts w:ascii="Times New Roman" w:cs="Times New Roman" w:eastAsia="Times New Roman" w:hAnsi="Times New Roman"/>
          <w:sz w:val="14"/>
          <w:szCs w:val="14"/>
          <w:color w:val="auto"/>
        </w:rPr>
        <w:t>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154" w:lineRule="exact"/>
        <w:rPr>
          <w:sz w:val="20"/>
          <w:szCs w:val="20"/>
          <w:color w:val="auto"/>
        </w:rPr>
      </w:pPr>
    </w:p>
    <w:p>
      <w:pPr>
        <w:ind w:left="1820" w:hanging="234"/>
        <w:spacing w:after="0"/>
        <w:tabs>
          <w:tab w:leader="none" w:pos="18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and Remedies.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If an Event of Default (other than certain bankruptcy Events of Default with respect to the Issuer) occurs</w:t>
      </w:r>
    </w:p>
    <w:p>
      <w:pPr>
        <w:spacing w:after="0" w:line="24" w:lineRule="exact"/>
        <w:rPr>
          <w:sz w:val="20"/>
          <w:szCs w:val="20"/>
          <w:color w:val="auto"/>
        </w:rPr>
      </w:pPr>
    </w:p>
    <w:p>
      <w:pPr>
        <w:ind w:left="1340" w:right="1359"/>
        <w:spacing w:after="0" w:line="241" w:lineRule="auto"/>
        <w:rPr>
          <w:sz w:val="20"/>
          <w:szCs w:val="20"/>
          <w:color w:val="auto"/>
        </w:rPr>
      </w:pPr>
      <w:r>
        <w:rPr>
          <w:rFonts w:ascii="Times New Roman" w:cs="Times New Roman" w:eastAsia="Times New Roman" w:hAnsi="Times New Roman"/>
          <w:sz w:val="14"/>
          <w:szCs w:val="14"/>
          <w:color w:val="auto"/>
        </w:rPr>
        <w:t>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 w:cs="Times New Roman" w:eastAsia="Times New Roman" w:hAnsi="Times New Roman"/>
          <w:sz w:val="14"/>
          <w:szCs w:val="14"/>
          <w:i w:val="1"/>
          <w:iCs w:val="1"/>
          <w:color w:val="auto"/>
        </w:rPr>
        <w:t>the entire principal</w:t>
      </w:r>
      <w:r>
        <w:rPr>
          <w:rFonts w:ascii="Times New Roman" w:cs="Times New Roman" w:eastAsia="Times New Roman" w:hAnsi="Times New Roman"/>
          <w:sz w:val="14"/>
          <w:szCs w:val="14"/>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 w:cs="Times New Roman" w:eastAsia="Times New Roman" w:hAnsi="Times New Roman"/>
          <w:sz w:val="14"/>
          <w:szCs w:val="14"/>
          <w:i w:val="1"/>
          <w:iCs w:val="1"/>
          <w:color w:val="auto"/>
        </w:rPr>
        <w:t>the entire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of the Securities then outstanding and interest accrued thereon, if any, shall become automatically due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11. Trustee Dealings with Issuer.</w:t>
      </w:r>
    </w:p>
    <w:p>
      <w:pPr>
        <w:spacing w:after="0" w:line="13" w:lineRule="exact"/>
        <w:rPr>
          <w:sz w:val="20"/>
          <w:szCs w:val="20"/>
          <w:color w:val="auto"/>
        </w:rPr>
      </w:pPr>
    </w:p>
    <w:p>
      <w:pPr>
        <w:ind w:left="1340" w:right="1439" w:firstLine="486"/>
        <w:spacing w:after="0" w:line="243" w:lineRule="auto"/>
        <w:rPr>
          <w:sz w:val="20"/>
          <w:szCs w:val="20"/>
          <w:color w:val="auto"/>
        </w:rPr>
      </w:pPr>
      <w:r>
        <w:rPr>
          <w:rFonts w:ascii="Times New Roman" w:cs="Times New Roman" w:eastAsia="Times New Roman" w:hAnsi="Times New Roman"/>
          <w:sz w:val="14"/>
          <w:szCs w:val="14"/>
          <w:color w:val="auto"/>
        </w:rPr>
        <w:t>The Trustee under the Indenture, in its individual or any other capacity, may become the owner or pledgee of Securities and may otherwise deal with the Issuer as if it were not the Trustee.</w:t>
      </w:r>
    </w:p>
    <w:p>
      <w:pPr>
        <w:spacing w:after="0" w:line="148" w:lineRule="exact"/>
        <w:rPr>
          <w:sz w:val="20"/>
          <w:szCs w:val="20"/>
          <w:color w:val="auto"/>
        </w:rPr>
      </w:pPr>
    </w:p>
    <w:p>
      <w:pPr>
        <w:ind w:left="1820" w:hanging="234"/>
        <w:spacing w:after="0"/>
        <w:tabs>
          <w:tab w:leader="none" w:pos="18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Recourse Against Others.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No stockholder, director, officer, employee or incorporator, past, present or future as such, of the Issuer or</w:t>
      </w:r>
    </w:p>
    <w:p>
      <w:pPr>
        <w:spacing w:after="0" w:line="24" w:lineRule="exact"/>
        <w:rPr>
          <w:sz w:val="20"/>
          <w:szCs w:val="20"/>
          <w:color w:val="auto"/>
        </w:rPr>
      </w:pPr>
    </w:p>
    <w:p>
      <w:pPr>
        <w:ind w:left="1340" w:right="1379"/>
        <w:spacing w:after="0" w:line="242" w:lineRule="auto"/>
        <w:rPr>
          <w:sz w:val="20"/>
          <w:szCs w:val="20"/>
          <w:color w:val="auto"/>
        </w:rPr>
      </w:pPr>
      <w:r>
        <w:rPr>
          <w:rFonts w:ascii="Times New Roman" w:cs="Times New Roman" w:eastAsia="Times New Roman" w:hAnsi="Times New Roman"/>
          <w:sz w:val="14"/>
          <w:szCs w:val="14"/>
          <w:color w:val="auto"/>
        </w:rPr>
        <w:t>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758825</wp:posOffset>
            </wp:positionV>
            <wp:extent cx="528764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184" w:name="page185"/>
    <w:bookmarkEnd w:id="184"/>
    <w:p>
      <w:pPr>
        <w:ind w:left="1820" w:hanging="234"/>
        <w:spacing w:after="0"/>
        <w:tabs>
          <w:tab w:leader="none" w:pos="18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Authentication.</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Security shall not be valid until the Trustee manually signs the certificate of authentication on this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Security.</w:t>
      </w:r>
    </w:p>
    <w:p>
      <w:pPr>
        <w:spacing w:after="0" w:line="1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14. Abbreviations and Defined Terms.</w:t>
      </w:r>
    </w:p>
    <w:p>
      <w:pPr>
        <w:spacing w:after="0" w:line="13" w:lineRule="exact"/>
        <w:rPr>
          <w:sz w:val="20"/>
          <w:szCs w:val="20"/>
          <w:color w:val="auto"/>
        </w:rPr>
      </w:pPr>
    </w:p>
    <w:p>
      <w:pPr>
        <w:ind w:left="1340" w:right="1479" w:firstLine="486"/>
        <w:spacing w:after="0" w:line="302" w:lineRule="auto"/>
        <w:rPr>
          <w:sz w:val="20"/>
          <w:szCs w:val="20"/>
          <w:color w:val="auto"/>
        </w:rPr>
      </w:pPr>
      <w:r>
        <w:rPr>
          <w:rFonts w:ascii="Times New Roman" w:cs="Times New Roman" w:eastAsia="Times New Roman" w:hAnsi="Times New Roman"/>
          <w:sz w:val="12"/>
          <w:szCs w:val="12"/>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5" w:lineRule="exact"/>
        <w:rPr>
          <w:sz w:val="20"/>
          <w:szCs w:val="20"/>
          <w:color w:val="auto"/>
        </w:rPr>
      </w:pPr>
    </w:p>
    <w:p>
      <w:pPr>
        <w:ind w:left="1820" w:hanging="234"/>
        <w:spacing w:after="0"/>
        <w:tabs>
          <w:tab w:leader="none" w:pos="18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CUSIP Numbers.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recommendation promulgated by the Committee on Uniform Security Identification</w:t>
      </w:r>
    </w:p>
    <w:p>
      <w:pPr>
        <w:spacing w:after="0" w:line="1" w:lineRule="exact"/>
        <w:rPr>
          <w:sz w:val="20"/>
          <w:szCs w:val="20"/>
          <w:color w:val="auto"/>
        </w:rPr>
      </w:pPr>
    </w:p>
    <w:p>
      <w:pPr>
        <w:jc w:val="both"/>
        <w:ind w:left="1340" w:right="1359"/>
        <w:spacing w:after="0" w:line="242" w:lineRule="auto"/>
        <w:rPr>
          <w:sz w:val="20"/>
          <w:szCs w:val="20"/>
          <w:color w:val="auto"/>
        </w:rPr>
      </w:pPr>
      <w:r>
        <w:rPr>
          <w:rFonts w:ascii="Times New Roman" w:cs="Times New Roman" w:eastAsia="Times New Roman" w:hAnsi="Times New Roman"/>
          <w:sz w:val="14"/>
          <w:szCs w:val="14"/>
          <w:color w:val="auto"/>
        </w:rPr>
        <w:t>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49" w:lineRule="exact"/>
        <w:rPr>
          <w:sz w:val="20"/>
          <w:szCs w:val="20"/>
          <w:color w:val="auto"/>
        </w:rPr>
      </w:pPr>
    </w:p>
    <w:p>
      <w:pPr>
        <w:ind w:left="1820" w:hanging="234"/>
        <w:spacing w:after="0"/>
        <w:tabs>
          <w:tab w:leader="none" w:pos="18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Governing Law.</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The laws of the State of New York shall govern the Indenture and this Security thereof, and for all purposes</w:t>
      </w:r>
    </w:p>
    <w:p>
      <w:pPr>
        <w:spacing w:after="0" w:line="24" w:lineRule="exact"/>
        <w:rPr>
          <w:sz w:val="20"/>
          <w:szCs w:val="20"/>
          <w:color w:val="auto"/>
        </w:rPr>
      </w:pPr>
    </w:p>
    <w:p>
      <w:pPr>
        <w:ind w:left="1340" w:right="1399"/>
        <w:spacing w:after="0" w:line="242" w:lineRule="auto"/>
        <w:rPr>
          <w:sz w:val="20"/>
          <w:szCs w:val="20"/>
          <w:color w:val="auto"/>
        </w:rPr>
      </w:pPr>
      <w:r>
        <w:rPr>
          <w:rFonts w:ascii="Times New Roman" w:cs="Times New Roman" w:eastAsia="Times New Roman" w:hAnsi="Times New Roman"/>
          <w:sz w:val="14"/>
          <w:szCs w:val="14"/>
          <w:color w:val="auto"/>
        </w:rPr>
        <w:t>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759460</wp:posOffset>
            </wp:positionV>
            <wp:extent cx="528764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185" w:name="page186"/>
    <w:bookmarkEnd w:id="185"/>
    <w:p>
      <w:pPr>
        <w:ind w:left="3820"/>
        <w:spacing w:after="0"/>
        <w:rPr>
          <w:sz w:val="20"/>
          <w:szCs w:val="20"/>
          <w:color w:val="auto"/>
        </w:rPr>
      </w:pPr>
      <w:r>
        <w:rPr>
          <w:rFonts w:ascii="Times New Roman" w:cs="Times New Roman" w:eastAsia="Times New Roman" w:hAnsi="Times New Roman"/>
          <w:sz w:val="14"/>
          <w:szCs w:val="14"/>
          <w:b w:val="1"/>
          <w:bCs w:val="1"/>
          <w:color w:val="auto"/>
        </w:rPr>
        <w:t>ASSIGNMENT FORM</w:t>
      </w:r>
    </w:p>
    <w:p>
      <w:pPr>
        <w:spacing w:after="0" w:line="16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214630</wp:posOffset>
            </wp:positionV>
            <wp:extent cx="401447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(Print or type name, address and zip code of assignee or transferee)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-99695</wp:posOffset>
            </wp:positionV>
            <wp:extent cx="401447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pacing w:after="0" w:line="30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and irrevocably appoint ______________________________________________ agent to transfer this Security on</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books of the Issuer. The agent may substitute another to act for him.</w:t>
      </w:r>
    </w:p>
    <w:p>
      <w:pPr>
        <w:spacing w:after="0" w:line="200" w:lineRule="exact"/>
        <w:rPr>
          <w:sz w:val="20"/>
          <w:szCs w:val="20"/>
          <w:color w:val="auto"/>
        </w:rPr>
      </w:pPr>
    </w:p>
    <w:p>
      <w:pPr>
        <w:spacing w:after="0" w:line="275" w:lineRule="exact"/>
        <w:rPr>
          <w:sz w:val="20"/>
          <w:szCs w:val="20"/>
          <w:color w:val="auto"/>
        </w:rPr>
      </w:pPr>
    </w:p>
    <w:p>
      <w:pPr>
        <w:ind w:left="1340"/>
        <w:spacing w:after="0"/>
        <w:tabs>
          <w:tab w:leader="none" w:pos="21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-10160</wp:posOffset>
            </wp:positionV>
            <wp:extent cx="9271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-10160</wp:posOffset>
            </wp:positionV>
            <wp:extent cx="5969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59690"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(Signed exactly as name appears on the other side of this Security)</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-10160</wp:posOffset>
            </wp:positionV>
            <wp:extent cx="16446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164465" cy="6350"/>
                    </a:xfrm>
                    <a:prstGeom prst="rect">
                      <a:avLst/>
                    </a:prstGeom>
                    <a:noFill/>
                  </pic:spPr>
                </pic:pic>
              </a:graphicData>
            </a:graphic>
          </wp:anchor>
        </w:drawing>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-10160</wp:posOffset>
            </wp:positionV>
            <wp:extent cx="14097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140970" cy="6350"/>
                    </a:xfrm>
                    <a:prstGeom prst="rect">
                      <a:avLst/>
                    </a:prstGeom>
                    <a:noFill/>
                  </pic:spPr>
                </pic:pic>
              </a:graphicData>
            </a:graphic>
          </wp:anchor>
        </w:drawing>
      </w:r>
    </w:p>
    <w:p>
      <w:pPr>
        <w:spacing w:after="0" w:line="143" w:lineRule="exact"/>
        <w:rPr>
          <w:sz w:val="20"/>
          <w:szCs w:val="20"/>
          <w:color w:val="auto"/>
        </w:rPr>
      </w:pPr>
    </w:p>
    <w:p>
      <w:pPr>
        <w:ind w:left="1340" w:right="1939"/>
        <w:spacing w:after="0" w:line="261" w:lineRule="auto"/>
        <w:rPr>
          <w:sz w:val="20"/>
          <w:szCs w:val="20"/>
          <w:color w:val="auto"/>
        </w:rPr>
      </w:pPr>
      <w:r>
        <w:rPr>
          <w:rFonts w:ascii="Times New Roman" w:cs="Times New Roman" w:eastAsia="Times New Roman" w:hAnsi="Times New Roman"/>
          <w:sz w:val="14"/>
          <w:szCs w:val="14"/>
          <w:color w:val="auto"/>
        </w:rPr>
        <w:t>Participant in a recognized Signature Guarantee Medallion Program (or other 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sectPr>
      </w:pPr>
    </w:p>
    <w:bookmarkStart w:id="186" w:name="page187"/>
    <w:bookmarkEnd w:id="186"/>
    <w:p>
      <w:pPr>
        <w:ind w:left="7000"/>
        <w:spacing w:after="0"/>
        <w:rPr>
          <w:sz w:val="20"/>
          <w:szCs w:val="20"/>
          <w:color w:val="auto"/>
        </w:rPr>
      </w:pPr>
      <w:r>
        <w:rPr>
          <w:rFonts w:ascii="Times New Roman" w:cs="Times New Roman" w:eastAsia="Times New Roman" w:hAnsi="Times New Roman"/>
          <w:sz w:val="12"/>
          <w:szCs w:val="12"/>
          <w:b w:val="1"/>
          <w:bCs w:val="1"/>
          <w:color w:val="auto"/>
        </w:rPr>
        <w:t>Exhibit 4.6</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Form of Subordinated Note</w:t>
      </w:r>
    </w:p>
    <w:p>
      <w:pPr>
        <w:spacing w:after="0" w:line="16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u w:val="single" w:color="auto"/>
          <w:color w:val="auto"/>
        </w:rPr>
        <w:t>(FACE OF SECURITY)</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Each Global Security shall bear substantially the following legend:</w:t>
      </w:r>
    </w:p>
    <w:p>
      <w:pPr>
        <w:spacing w:after="0" w:line="165" w:lineRule="exact"/>
        <w:rPr>
          <w:sz w:val="20"/>
          <w:szCs w:val="20"/>
          <w:color w:val="auto"/>
        </w:rPr>
      </w:pPr>
    </w:p>
    <w:p>
      <w:pPr>
        <w:ind w:left="1340" w:right="1379"/>
        <w:spacing w:after="0" w:line="243" w:lineRule="auto"/>
        <w:rPr>
          <w:sz w:val="20"/>
          <w:szCs w:val="20"/>
          <w:color w:val="auto"/>
        </w:rPr>
      </w:pPr>
      <w:r>
        <w:rPr>
          <w:rFonts w:ascii="Times New Roman" w:cs="Times New Roman" w:eastAsia="Times New Roman" w:hAnsi="Times New Roman"/>
          <w:sz w:val="14"/>
          <w:szCs w:val="14"/>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If the Security has original issue discount for U.S. federal income tax purposes, insert tax legend:</w:t>
      </w:r>
    </w:p>
    <w:p>
      <w:pPr>
        <w:spacing w:after="0" w:line="163" w:lineRule="exact"/>
        <w:rPr>
          <w:sz w:val="20"/>
          <w:szCs w:val="20"/>
          <w:color w:val="auto"/>
        </w:rPr>
      </w:pPr>
    </w:p>
    <w:p>
      <w:pPr>
        <w:ind w:left="1340" w:right="1399"/>
        <w:spacing w:after="0" w:line="29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FOR PURPOSES OF SECTIONS 1272, 1273 AND 1275 OF THE INTERNAL REVENUE CODE OF 1986, AS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Title of Security ]</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 [   ]</w:t>
      </w:r>
    </w:p>
    <w:p>
      <w:pPr>
        <w:spacing w:after="0" w:line="163"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CUSIP No.: [   ]</w:t>
      </w:r>
    </w:p>
    <w:p>
      <w:pPr>
        <w:spacing w:after="0" w:line="13"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[Common Code][ISIN]: [   ]</w:t>
      </w:r>
    </w:p>
    <w:p>
      <w:pPr>
        <w:spacing w:after="0" w:line="1"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   ]</w:t>
      </w:r>
    </w:p>
    <w:p>
      <w:pPr>
        <w:spacing w:after="0" w:line="151" w:lineRule="exact"/>
        <w:rPr>
          <w:sz w:val="20"/>
          <w:szCs w:val="20"/>
          <w:color w:val="auto"/>
        </w:rPr>
      </w:pPr>
    </w:p>
    <w:p>
      <w:pPr>
        <w:ind w:left="1340" w:right="1679" w:firstLine="486"/>
        <w:spacing w:after="0" w:line="289" w:lineRule="auto"/>
        <w:rPr>
          <w:sz w:val="20"/>
          <w:szCs w:val="20"/>
          <w:color w:val="auto"/>
        </w:rPr>
      </w:pPr>
      <w:r>
        <w:rPr>
          <w:rFonts w:ascii="Times New Roman" w:cs="Times New Roman" w:eastAsia="Times New Roman" w:hAnsi="Times New Roman"/>
          <w:sz w:val="12"/>
          <w:szCs w:val="12"/>
          <w:color w:val="auto"/>
        </w:rPr>
        <w:t>Xilio Therapeutics, Inc., a Delaware corporation (the “Issuer”, which term includes any successor corporation), for value received promises to pay to [</w:t>
      </w:r>
      <w:r>
        <w:rPr>
          <w:rFonts w:ascii="Times New Roman" w:cs="Times New Roman" w:eastAsia="Times New Roman" w:hAnsi="Times New Roman"/>
          <w:sz w:val="12"/>
          <w:szCs w:val="12"/>
          <w:i w:val="1"/>
          <w:iCs w:val="1"/>
          <w:color w:val="auto"/>
        </w:rPr>
        <w:t>If the Security is a Global Security —</w:t>
      </w:r>
      <w:r>
        <w:rPr>
          <w:rFonts w:ascii="Times New Roman" w:cs="Times New Roman" w:eastAsia="Times New Roman" w:hAnsi="Times New Roman"/>
          <w:sz w:val="12"/>
          <w:szCs w:val="12"/>
          <w:color w:val="auto"/>
        </w:rPr>
        <w:t xml:space="preserve"> CEDE &amp; CO.][</w:t>
      </w:r>
      <w:r>
        <w:rPr>
          <w:rFonts w:ascii="Times New Roman" w:cs="Times New Roman" w:eastAsia="Times New Roman" w:hAnsi="Times New Roman"/>
          <w:sz w:val="12"/>
          <w:szCs w:val="12"/>
          <w:i w:val="1"/>
          <w:iCs w:val="1"/>
          <w:color w:val="auto"/>
        </w:rPr>
        <w:t>If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Security is not a Global Security — __________</w:t>
      </w:r>
      <w:r>
        <w:rPr>
          <w:rFonts w:ascii="Times New Roman" w:cs="Times New Roman" w:eastAsia="Times New Roman" w:hAnsi="Times New Roman"/>
          <w:sz w:val="12"/>
          <w:szCs w:val="12"/>
          <w:color w:val="auto"/>
        </w:rPr>
        <w:t>] or registered assigns, the principal sum of __________ on</w:t>
      </w:r>
    </w:p>
    <w:p>
      <w:pPr>
        <w:ind w:left="1340"/>
        <w:spacing w:after="0"/>
        <w:rPr>
          <w:sz w:val="20"/>
          <w:szCs w:val="20"/>
          <w:color w:val="auto"/>
        </w:rPr>
      </w:pPr>
      <w:r>
        <w:rPr>
          <w:rFonts w:ascii="Times New Roman" w:cs="Times New Roman" w:eastAsia="Times New Roman" w:hAnsi="Times New Roman"/>
          <w:sz w:val="14"/>
          <w:szCs w:val="14"/>
          <w:color w:val="auto"/>
        </w:rPr>
        <w:t>__________,____ (the “Maturity Date”) [</w:t>
      </w:r>
      <w:r>
        <w:rPr>
          <w:rFonts w:ascii="Times New Roman" w:cs="Times New Roman" w:eastAsia="Times New Roman" w:hAnsi="Times New Roman"/>
          <w:sz w:val="14"/>
          <w:szCs w:val="14"/>
          <w:i w:val="1"/>
          <w:iCs w:val="1"/>
          <w:color w:val="auto"/>
        </w:rPr>
        <w:t>If the Security is to bear interest prior to maturity, insert—</w:t>
      </w:r>
      <w:r>
        <w:rPr>
          <w:rFonts w:ascii="Times New Roman" w:cs="Times New Roman" w:eastAsia="Times New Roman" w:hAnsi="Times New Roman"/>
          <w:sz w:val="14"/>
          <w:szCs w:val="14"/>
          <w:color w:val="auto"/>
        </w:rPr>
        <w:t>, and to pay</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interest thereon from _____________ or from the most recent interest payment date to which interest has been paid</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or duly provided for, </w:t>
      </w:r>
      <w:r>
        <w:rPr>
          <w:rFonts w:ascii="Times New Roman" w:cs="Times New Roman" w:eastAsia="Times New Roman" w:hAnsi="Times New Roman"/>
          <w:sz w:val="12"/>
          <w:szCs w:val="12"/>
          <w:i w:val="1"/>
          <w:iCs w:val="1"/>
          <w:color w:val="auto"/>
        </w:rPr>
        <w:t>[semiannually in arrears on ______ and ______ in each year</w:t>
      </w:r>
      <w:r>
        <w:rPr>
          <w:rFonts w:ascii="Times New Roman" w:cs="Times New Roman" w:eastAsia="Times New Roman" w:hAnsi="Times New Roman"/>
          <w:sz w:val="12"/>
          <w:szCs w:val="12"/>
          <w:color w:val="auto"/>
        </w:rPr>
        <w:t>], commencing _________, ____</w:t>
      </w:r>
    </w:p>
    <w:p>
      <w:pPr>
        <w:spacing w:after="0" w:line="24" w:lineRule="exact"/>
        <w:rPr>
          <w:sz w:val="20"/>
          <w:szCs w:val="20"/>
          <w:color w:val="auto"/>
        </w:rPr>
      </w:pPr>
    </w:p>
    <w:p>
      <w:pPr>
        <w:ind w:left="1340" w:right="1419"/>
        <w:spacing w:after="0" w:line="290" w:lineRule="auto"/>
        <w:rPr>
          <w:sz w:val="20"/>
          <w:szCs w:val="20"/>
          <w:color w:val="auto"/>
        </w:rPr>
      </w:pPr>
      <w:r>
        <w:rPr>
          <w:rFonts w:ascii="Times New Roman" w:cs="Times New Roman" w:eastAsia="Times New Roman" w:hAnsi="Times New Roman"/>
          <w:sz w:val="12"/>
          <w:szCs w:val="12"/>
          <w:color w:val="auto"/>
        </w:rPr>
        <w:t>(each, an “Interest Payment Date”) at the rate of [</w:t>
      </w:r>
      <w:r>
        <w:rPr>
          <w:rFonts w:ascii="Times New Roman" w:cs="Times New Roman" w:eastAsia="Times New Roman" w:hAnsi="Times New Roman"/>
          <w:sz w:val="12"/>
          <w:szCs w:val="12"/>
          <w:i w:val="1"/>
          <w:iCs w:val="1"/>
          <w:color w:val="auto"/>
        </w:rPr>
        <w:t>___% per annum</w:t>
      </w:r>
      <w:r>
        <w:rPr>
          <w:rFonts w:ascii="Times New Roman" w:cs="Times New Roman" w:eastAsia="Times New Roman" w:hAnsi="Times New Roman"/>
          <w:sz w:val="12"/>
          <w:szCs w:val="12"/>
          <w:color w:val="auto"/>
        </w:rPr>
        <w:t>], until the principal hereof is paid or made available for payment [</w:t>
      </w:r>
      <w:r>
        <w:rPr>
          <w:rFonts w:ascii="Times New Roman" w:cs="Times New Roman" w:eastAsia="Times New Roman" w:hAnsi="Times New Roman"/>
          <w:sz w:val="12"/>
          <w:szCs w:val="12"/>
          <w:i w:val="1"/>
          <w:iCs w:val="1"/>
          <w:color w:val="auto"/>
        </w:rPr>
        <w:t>If applicable insert—,</w:t>
      </w:r>
      <w:r>
        <w:rPr>
          <w:rFonts w:ascii="Times New Roman" w:cs="Times New Roman" w:eastAsia="Times New Roman" w:hAnsi="Times New Roman"/>
          <w:sz w:val="12"/>
          <w:szCs w:val="12"/>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741680</wp:posOffset>
            </wp:positionV>
            <wp:extent cx="528764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5" w:right="1440" w:bottom="1440" w:gutter="0" w:footer="0" w:header="0"/>
        </w:sectPr>
      </w:pPr>
    </w:p>
    <w:bookmarkStart w:id="187" w:name="page188"/>
    <w:bookmarkEnd w:id="187"/>
    <w:p>
      <w:pPr>
        <w:ind w:left="1340"/>
        <w:spacing w:after="0"/>
        <w:rPr>
          <w:sz w:val="20"/>
          <w:szCs w:val="20"/>
          <w:color w:val="auto"/>
        </w:rPr>
      </w:pPr>
      <w:r>
        <w:rPr>
          <w:rFonts w:ascii="Times New Roman" w:cs="Times New Roman" w:eastAsia="Times New Roman" w:hAnsi="Times New Roman"/>
          <w:sz w:val="12"/>
          <w:szCs w:val="12"/>
          <w:color w:val="auto"/>
        </w:rPr>
        <w:t>________ (whether or not a Business Day), as the case may be, next preceding such Interest Payment Date (each, an</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“Interest Record Date”). Interest will be computed on the basis of [</w:t>
      </w:r>
      <w:r>
        <w:rPr>
          <w:rFonts w:ascii="Times New Roman" w:cs="Times New Roman" w:eastAsia="Times New Roman" w:hAnsi="Times New Roman"/>
          <w:sz w:val="14"/>
          <w:szCs w:val="14"/>
          <w:i w:val="1"/>
          <w:iCs w:val="1"/>
          <w:color w:val="auto"/>
        </w:rPr>
        <w:t>a 360-day year of twelve 30-day months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If the Security is not to bear interest prior to maturity, insert—</w:t>
      </w:r>
      <w:r>
        <w:rPr>
          <w:rFonts w:ascii="Times New Roman" w:cs="Times New Roman" w:eastAsia="Times New Roman" w:hAnsi="Times New Roman"/>
          <w:sz w:val="14"/>
          <w:szCs w:val="14"/>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47" w:lineRule="exact"/>
        <w:rPr>
          <w:sz w:val="20"/>
          <w:szCs w:val="20"/>
          <w:color w:val="auto"/>
        </w:rPr>
      </w:pPr>
    </w:p>
    <w:p>
      <w:pPr>
        <w:ind w:left="1340" w:right="1399" w:firstLine="486"/>
        <w:spacing w:after="0" w:line="261" w:lineRule="auto"/>
        <w:rPr>
          <w:sz w:val="20"/>
          <w:szCs w:val="20"/>
          <w:color w:val="auto"/>
        </w:rPr>
      </w:pPr>
      <w:r>
        <w:rPr>
          <w:rFonts w:ascii="Times New Roman" w:cs="Times New Roman" w:eastAsia="Times New Roman" w:hAnsi="Times New Roman"/>
          <w:sz w:val="14"/>
          <w:szCs w:val="14"/>
          <w:color w:val="auto"/>
        </w:rPr>
        <w:t>Reference is made to the further provisions set forth on the reverse of this Security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88" w:name="page189"/>
    <w:bookmarkEnd w:id="188"/>
    <w:p>
      <w:pPr>
        <w:ind w:left="1340" w:right="1579" w:firstLine="331"/>
        <w:spacing w:after="0" w:line="261" w:lineRule="auto"/>
        <w:rPr>
          <w:sz w:val="20"/>
          <w:szCs w:val="20"/>
          <w:color w:val="auto"/>
        </w:rPr>
      </w:pPr>
      <w:r>
        <w:rPr>
          <w:rFonts w:ascii="Times New Roman" w:cs="Times New Roman" w:eastAsia="Times New Roman" w:hAnsi="Times New Roman"/>
          <w:sz w:val="14"/>
          <w:szCs w:val="14"/>
          <w:color w:val="auto"/>
        </w:rPr>
        <w:t>IN WITNESS WHEREOF, the Issuer has caused this Security to be signed manually or by facsimile by its duly authorized officer under its corporate seal.</w:t>
      </w:r>
    </w:p>
    <w:p>
      <w:pPr>
        <w:spacing w:after="0" w:line="2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3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By:</w:t>
      </w:r>
    </w:p>
    <w:p>
      <w:pPr>
        <w:spacing w:after="0" w:line="4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-99695</wp:posOffset>
            </wp:positionV>
            <wp:extent cx="366077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3660775" cy="6350"/>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4"/>
          <w:szCs w:val="14"/>
          <w:color w:val="auto"/>
        </w:rPr>
        <w:t>Title:</w:t>
      </w: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Attest:</w:t>
      </w:r>
    </w:p>
    <w:p>
      <w:pPr>
        <w:spacing w:after="0" w:line="3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Title:</w:t>
      </w:r>
    </w:p>
    <w:p>
      <w:pPr>
        <w:spacing w:after="0" w:line="15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This is one of the Securities of the series designated herein and referred to in the within-mentioned Indenture.</w:t>
      </w:r>
    </w:p>
    <w:p>
      <w:pPr>
        <w:spacing w:after="0" w:line="18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Dated: [_________________]</w:t>
      </w:r>
    </w:p>
    <w:p>
      <w:pPr>
        <w:spacing w:after="0" w:line="1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_______________________, as Trustee</w:t>
      </w:r>
    </w:p>
    <w:p>
      <w:pPr>
        <w:spacing w:after="0" w:line="3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-10160</wp:posOffset>
            </wp:positionV>
            <wp:extent cx="4762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657225</wp:posOffset>
            </wp:positionV>
            <wp:extent cx="528764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89" w:name="page190"/>
    <w:bookmarkEnd w:id="18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(REVERSE OF SECURITY)</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XILIO THERAPEUTICS, INC.</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Title of Security ]</w:t>
      </w:r>
    </w:p>
    <w:p>
      <w:pPr>
        <w:spacing w:after="0" w:line="167" w:lineRule="exact"/>
        <w:rPr>
          <w:sz w:val="20"/>
          <w:szCs w:val="20"/>
          <w:color w:val="auto"/>
        </w:rPr>
      </w:pPr>
    </w:p>
    <w:p>
      <w:pPr>
        <w:ind w:left="1820" w:hanging="477"/>
        <w:spacing w:after="0"/>
        <w:tabs>
          <w:tab w:leader="none" w:pos="18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w:t>
      </w:r>
    </w:p>
    <w:p>
      <w:pPr>
        <w:spacing w:after="0" w:line="163" w:lineRule="exact"/>
        <w:rPr>
          <w:sz w:val="20"/>
          <w:szCs w:val="20"/>
          <w:color w:val="auto"/>
        </w:rPr>
      </w:pPr>
    </w:p>
    <w:p>
      <w:pPr>
        <w:ind w:left="1340" w:right="1359" w:firstLine="486"/>
        <w:spacing w:after="0" w:line="289" w:lineRule="auto"/>
        <w:rPr>
          <w:sz w:val="20"/>
          <w:szCs w:val="20"/>
          <w:color w:val="auto"/>
        </w:rPr>
      </w:pPr>
      <w:r>
        <w:rPr>
          <w:rFonts w:ascii="Times New Roman" w:cs="Times New Roman" w:eastAsia="Times New Roman" w:hAnsi="Times New Roman"/>
          <w:sz w:val="12"/>
          <w:szCs w:val="12"/>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]____________, all of such Securities issued and to be issued under an Indenture</w:t>
      </w:r>
    </w:p>
    <w:p>
      <w:pPr>
        <w:ind w:left="1340"/>
        <w:spacing w:after="0"/>
        <w:rPr>
          <w:sz w:val="20"/>
          <w:szCs w:val="20"/>
          <w:color w:val="auto"/>
        </w:rPr>
      </w:pPr>
      <w:r>
        <w:rPr>
          <w:rFonts w:ascii="Times New Roman" w:cs="Times New Roman" w:eastAsia="Times New Roman" w:hAnsi="Times New Roman"/>
          <w:sz w:val="12"/>
          <w:szCs w:val="12"/>
          <w:color w:val="auto"/>
        </w:rPr>
        <w:t>dated as of ________, _____ (the “Indenture”) between the Issuer and __________________________ as trustee</w:t>
      </w:r>
    </w:p>
    <w:p>
      <w:pPr>
        <w:spacing w:after="0" w:line="24" w:lineRule="exact"/>
        <w:rPr>
          <w:sz w:val="20"/>
          <w:szCs w:val="20"/>
          <w:color w:val="auto"/>
        </w:rPr>
      </w:pPr>
    </w:p>
    <w:p>
      <w:pPr>
        <w:ind w:left="1340" w:right="1439"/>
        <w:spacing w:after="0" w:line="241" w:lineRule="auto"/>
        <w:rPr>
          <w:sz w:val="20"/>
          <w:szCs w:val="20"/>
          <w:color w:val="auto"/>
        </w:rPr>
      </w:pPr>
      <w:r>
        <w:rPr>
          <w:rFonts w:ascii="Times New Roman" w:cs="Times New Roman" w:eastAsia="Times New Roman" w:hAnsi="Times New Roman"/>
          <w:sz w:val="14"/>
          <w:szCs w:val="14"/>
          <w:color w:val="auto"/>
        </w:rPr>
        <w:t>(the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51" w:lineRule="exact"/>
        <w:rPr>
          <w:sz w:val="20"/>
          <w:szCs w:val="20"/>
          <w:color w:val="auto"/>
        </w:rPr>
      </w:pPr>
    </w:p>
    <w:p>
      <w:pPr>
        <w:ind w:left="1340" w:right="1639" w:firstLine="486"/>
        <w:spacing w:after="0" w:line="294" w:lineRule="auto"/>
        <w:rPr>
          <w:sz w:val="20"/>
          <w:szCs w:val="20"/>
          <w:color w:val="auto"/>
        </w:rPr>
      </w:pPr>
      <w:r>
        <w:rPr>
          <w:rFonts w:ascii="Times New Roman" w:cs="Times New Roman" w:eastAsia="Times New Roman" w:hAnsi="Times New Roman"/>
          <w:sz w:val="12"/>
          <w:szCs w:val="12"/>
          <w:color w:val="auto"/>
        </w:rPr>
        <w:t>This Security is one of a series of Securities designated pursuant to the Indenture [and a [</w:t>
      </w:r>
      <w:r>
        <w:rPr>
          <w:rFonts w:ascii="Times New Roman" w:cs="Times New Roman" w:eastAsia="Times New Roman" w:hAnsi="Times New Roman"/>
          <w:sz w:val="12"/>
          <w:szCs w:val="12"/>
          <w:i w:val="1"/>
          <w:iCs w:val="1"/>
          <w:color w:val="auto"/>
        </w:rPr>
        <w:t>Supplemental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Indenture</w:t>
      </w:r>
      <w:r>
        <w:rPr>
          <w:rFonts w:ascii="Times New Roman" w:cs="Times New Roman" w:eastAsia="Times New Roman" w:hAnsi="Times New Roman"/>
          <w:sz w:val="12"/>
          <w:szCs w:val="12"/>
          <w:color w:val="auto"/>
        </w:rPr>
        <w:t>] dated _____, _____, issued pursuant to Section 2.01 and Section 2.03 thereof (the “Supplemental</w:t>
      </w:r>
    </w:p>
    <w:p>
      <w:pPr>
        <w:ind w:left="1340"/>
        <w:spacing w:after="0"/>
        <w:rPr>
          <w:sz w:val="20"/>
          <w:szCs w:val="20"/>
          <w:color w:val="auto"/>
        </w:rPr>
      </w:pPr>
      <w:r>
        <w:rPr>
          <w:rFonts w:ascii="Times New Roman" w:cs="Times New Roman" w:eastAsia="Times New Roman" w:hAnsi="Times New Roman"/>
          <w:sz w:val="12"/>
          <w:szCs w:val="12"/>
          <w:color w:val="auto"/>
        </w:rPr>
        <w:t>Indenture”)] as ________________. The Securities are general unsecured obligations of the Issuer. The Issuer may,</w:t>
      </w:r>
    </w:p>
    <w:p>
      <w:pPr>
        <w:spacing w:after="0" w:line="24" w:lineRule="exact"/>
        <w:rPr>
          <w:sz w:val="20"/>
          <w:szCs w:val="20"/>
          <w:color w:val="auto"/>
        </w:rPr>
      </w:pPr>
    </w:p>
    <w:p>
      <w:pPr>
        <w:ind w:left="1340" w:right="1679"/>
        <w:spacing w:after="0" w:line="243" w:lineRule="auto"/>
        <w:rPr>
          <w:sz w:val="20"/>
          <w:szCs w:val="20"/>
          <w:color w:val="auto"/>
        </w:rPr>
      </w:pPr>
      <w:r>
        <w:rPr>
          <w:rFonts w:ascii="Times New Roman" w:cs="Times New Roman" w:eastAsia="Times New Roman" w:hAnsi="Times New Roman"/>
          <w:sz w:val="14"/>
          <w:szCs w:val="14"/>
          <w:color w:val="auto"/>
        </w:rPr>
        <w:t>subject to the provisions of the Indenture and applicable law, issue additional Securities of any series under the Indenture.</w:t>
      </w:r>
    </w:p>
    <w:p>
      <w:pPr>
        <w:spacing w:after="0" w:line="148" w:lineRule="exact"/>
        <w:rPr>
          <w:sz w:val="20"/>
          <w:szCs w:val="20"/>
          <w:color w:val="auto"/>
        </w:rPr>
      </w:pPr>
    </w:p>
    <w:p>
      <w:pPr>
        <w:ind w:left="1820" w:hanging="477"/>
        <w:spacing w:after="0"/>
        <w:tabs>
          <w:tab w:leader="none" w:pos="18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Method of Payment.</w:t>
      </w:r>
    </w:p>
    <w:p>
      <w:pPr>
        <w:spacing w:after="0" w:line="163" w:lineRule="exact"/>
        <w:rPr>
          <w:sz w:val="20"/>
          <w:szCs w:val="20"/>
          <w:color w:val="auto"/>
        </w:rPr>
      </w:pPr>
    </w:p>
    <w:p>
      <w:pPr>
        <w:ind w:left="1340" w:right="1359" w:firstLine="486"/>
        <w:spacing w:after="0" w:line="284" w:lineRule="auto"/>
        <w:rPr>
          <w:sz w:val="20"/>
          <w:szCs w:val="20"/>
          <w:color w:val="auto"/>
        </w:rPr>
      </w:pPr>
      <w:r>
        <w:rPr>
          <w:rFonts w:ascii="Times New Roman" w:cs="Times New Roman" w:eastAsia="Times New Roman" w:hAnsi="Times New Roman"/>
          <w:sz w:val="12"/>
          <w:szCs w:val="12"/>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 w:cs="Times New Roman" w:eastAsia="Times New Roman" w:hAnsi="Times New Roman"/>
          <w:sz w:val="12"/>
          <w:szCs w:val="12"/>
          <w:i w:val="1"/>
          <w:iCs w:val="1"/>
          <w:color w:val="auto"/>
        </w:rPr>
        <w:t>the United States</w:t>
      </w:r>
      <w:r>
        <w:rPr>
          <w:rFonts w:ascii="Times New Roman" w:cs="Times New Roman" w:eastAsia="Times New Roman" w:hAnsi="Times New Roman"/>
          <w:sz w:val="12"/>
          <w:szCs w:val="12"/>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 w:cs="Times New Roman" w:eastAsia="Times New Roman" w:hAnsi="Times New Roman"/>
          <w:sz w:val="12"/>
          <w:szCs w:val="12"/>
          <w:i w:val="1"/>
          <w:iCs w:val="1"/>
          <w:color w:val="auto"/>
        </w:rPr>
        <w:t>a./p.m.</w:t>
      </w:r>
      <w:r>
        <w:rPr>
          <w:rFonts w:ascii="Times New Roman" w:cs="Times New Roman" w:eastAsia="Times New Roman" w:hAnsi="Times New Roman"/>
          <w:sz w:val="12"/>
          <w:szCs w:val="12"/>
          <w:color w:val="auto"/>
        </w:rPr>
        <w:t>], New</w:t>
      </w:r>
    </w:p>
    <w:p>
      <w:pPr>
        <w:spacing w:after="0" w:line="3"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4"/>
          <w:szCs w:val="14"/>
          <w:color w:val="auto"/>
        </w:rPr>
        <w:t>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53" w:lineRule="exact"/>
        <w:rPr>
          <w:sz w:val="20"/>
          <w:szCs w:val="20"/>
          <w:color w:val="auto"/>
        </w:rPr>
      </w:pPr>
    </w:p>
    <w:p>
      <w:pPr>
        <w:ind w:left="1820" w:hanging="477"/>
        <w:spacing w:after="0"/>
        <w:tabs>
          <w:tab w:leader="none" w:pos="18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w:t>
      </w:r>
    </w:p>
    <w:p>
      <w:pPr>
        <w:spacing w:after="0" w:line="1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Securities of this series may be redeemed at any time [on or after ______, ______], as a whole or in</w:t>
      </w:r>
    </w:p>
    <w:p>
      <w:pPr>
        <w:spacing w:after="0" w:line="38" w:lineRule="exact"/>
        <w:rPr>
          <w:sz w:val="20"/>
          <w:szCs w:val="20"/>
          <w:color w:val="auto"/>
        </w:rPr>
      </w:pPr>
    </w:p>
    <w:p>
      <w:pPr>
        <w:ind w:left="1340" w:right="1419"/>
        <w:spacing w:after="0" w:line="243" w:lineRule="auto"/>
        <w:rPr>
          <w:sz w:val="20"/>
          <w:szCs w:val="20"/>
          <w:color w:val="auto"/>
        </w:rPr>
      </w:pPr>
      <w:r>
        <w:rPr>
          <w:rFonts w:ascii="Times New Roman" w:cs="Times New Roman" w:eastAsia="Times New Roman" w:hAnsi="Times New Roman"/>
          <w:sz w:val="14"/>
          <w:szCs w:val="14"/>
          <w:i w:val="1"/>
          <w:iCs w:val="1"/>
          <w:color w:val="auto"/>
        </w:rPr>
        <w:t>part, at the option of the Issuer, upon mailing notice of such redemption not less than 10 and not more than 60 days to the Holders of such Securities, at a redemption price equal to ___________.</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1820" w:hanging="477"/>
        <w:spacing w:after="0"/>
        <w:tabs>
          <w:tab w:leader="none" w:pos="18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Agent and Security Registrar</w:t>
      </w:r>
    </w:p>
    <w:p>
      <w:pPr>
        <w:spacing w:after="0" w:line="163" w:lineRule="exact"/>
        <w:rPr>
          <w:sz w:val="20"/>
          <w:szCs w:val="20"/>
          <w:color w:val="auto"/>
        </w:rPr>
      </w:pPr>
    </w:p>
    <w:p>
      <w:pPr>
        <w:ind w:left="1340" w:right="1459" w:firstLine="486"/>
        <w:spacing w:after="0" w:line="261" w:lineRule="auto"/>
        <w:rPr>
          <w:sz w:val="20"/>
          <w:szCs w:val="20"/>
          <w:color w:val="auto"/>
        </w:rPr>
      </w:pPr>
      <w:r>
        <w:rPr>
          <w:rFonts w:ascii="Times New Roman" w:cs="Times New Roman" w:eastAsia="Times New Roman" w:hAnsi="Times New Roman"/>
          <w:sz w:val="14"/>
          <w:szCs w:val="14"/>
          <w:color w:val="auto"/>
        </w:rPr>
        <w:t>Initially, [the Trustee] will act as Paying Agent and Security Registrar. The Issuer may change any Paying Agent or Security Registrar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5" w:right="1440" w:bottom="1440" w:gutter="0" w:footer="0" w:header="0"/>
        </w:sectPr>
      </w:pPr>
    </w:p>
    <w:bookmarkStart w:id="190" w:name="page191"/>
    <w:bookmarkEnd w:id="190"/>
    <w:p>
      <w:pPr>
        <w:ind w:left="1820" w:hanging="477"/>
        <w:spacing w:after="0"/>
        <w:tabs>
          <w:tab w:leader="none" w:pos="18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Denominations; Transfer; Exchange.</w:t>
      </w:r>
    </w:p>
    <w:p>
      <w:pPr>
        <w:spacing w:after="0" w:line="1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Securities are in registered form, without coupons, in denominations of [</w:t>
      </w:r>
      <w:r>
        <w:rPr>
          <w:rFonts w:ascii="Times New Roman" w:cs="Times New Roman" w:eastAsia="Times New Roman" w:hAnsi="Times New Roman"/>
          <w:sz w:val="14"/>
          <w:szCs w:val="14"/>
          <w:i w:val="1"/>
          <w:iCs w:val="1"/>
          <w:color w:val="auto"/>
        </w:rPr>
        <w:t>$2,000</w:t>
      </w:r>
      <w:r>
        <w:rPr>
          <w:rFonts w:ascii="Times New Roman" w:cs="Times New Roman" w:eastAsia="Times New Roman" w:hAnsi="Times New Roman"/>
          <w:sz w:val="14"/>
          <w:szCs w:val="14"/>
          <w:color w:val="auto"/>
        </w:rPr>
        <w:t>] and multiples of</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$1,000</w:t>
      </w:r>
      <w:r>
        <w:rPr>
          <w:rFonts w:ascii="Times New Roman" w:cs="Times New Roman" w:eastAsia="Times New Roman" w:hAnsi="Times New Roman"/>
          <w:sz w:val="12"/>
          <w:szCs w:val="12"/>
          <w:color w:val="auto"/>
        </w:rPr>
        <w:t>]. A Holder shall register the transfer of or exchange Securities in accordance with the Indenture. The Issuer</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may require a Holder, among other things, to furnish appropriate endorsements and transfer documents and to pay</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certain transfer taxes or similar governmental charges payable in connection therewith as permitted by the Indenture.</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Issuer need not register the transfer of or exchange (a) any Securities for a period of fifteen (15) days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preceding the first notice that such Securities are to be redeemed, or (b) any Securities selected, called or being</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called for redemption in whole or in part, except, in the case of any Security to be redeemed in part, the portion</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thereof not to be so redeemed.</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ind w:left="1820" w:hanging="477"/>
        <w:spacing w:after="0"/>
        <w:tabs>
          <w:tab w:leader="none" w:pos="18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Owners.</w:t>
      </w:r>
    </w:p>
    <w:p>
      <w:pPr>
        <w:spacing w:after="0" w:line="16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a Security shall be treated as the owner of it for all purposes.</w:t>
      </w:r>
    </w:p>
    <w:p>
      <w:pPr>
        <w:spacing w:after="0" w:line="163" w:lineRule="exact"/>
        <w:rPr>
          <w:rFonts w:ascii="Times New Roman" w:cs="Times New Roman" w:eastAsia="Times New Roman" w:hAnsi="Times New Roman"/>
          <w:sz w:val="14"/>
          <w:szCs w:val="14"/>
          <w:color w:val="auto"/>
        </w:rPr>
      </w:pPr>
    </w:p>
    <w:p>
      <w:pPr>
        <w:ind w:left="1820" w:hanging="477"/>
        <w:spacing w:after="0"/>
        <w:tabs>
          <w:tab w:leader="none" w:pos="18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Unclaimed Funds.</w:t>
      </w:r>
    </w:p>
    <w:p>
      <w:pPr>
        <w:spacing w:after="0" w:line="163" w:lineRule="exact"/>
        <w:rPr>
          <w:sz w:val="20"/>
          <w:szCs w:val="20"/>
          <w:color w:val="auto"/>
        </w:rPr>
      </w:pPr>
    </w:p>
    <w:p>
      <w:pPr>
        <w:jc w:val="both"/>
        <w:ind w:left="1340" w:right="1379" w:firstLine="486"/>
        <w:spacing w:after="0" w:line="251" w:lineRule="auto"/>
        <w:rPr>
          <w:sz w:val="20"/>
          <w:szCs w:val="20"/>
          <w:color w:val="auto"/>
        </w:rPr>
      </w:pPr>
      <w:r>
        <w:rPr>
          <w:rFonts w:ascii="Times New Roman" w:cs="Times New Roman" w:eastAsia="Times New Roman" w:hAnsi="Times New Roman"/>
          <w:sz w:val="14"/>
          <w:szCs w:val="14"/>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143" w:lineRule="exact"/>
        <w:rPr>
          <w:sz w:val="20"/>
          <w:szCs w:val="20"/>
          <w:color w:val="auto"/>
        </w:rPr>
      </w:pPr>
    </w:p>
    <w:p>
      <w:pPr>
        <w:ind w:left="1820" w:hanging="477"/>
        <w:spacing w:after="0"/>
        <w:tabs>
          <w:tab w:leader="none" w:pos="18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w:t>
      </w:r>
    </w:p>
    <w:p>
      <w:pPr>
        <w:spacing w:after="0" w:line="161" w:lineRule="exact"/>
        <w:rPr>
          <w:sz w:val="20"/>
          <w:szCs w:val="20"/>
          <w:color w:val="auto"/>
        </w:rPr>
      </w:pPr>
    </w:p>
    <w:p>
      <w:pPr>
        <w:ind w:left="1340" w:right="1419" w:firstLine="486"/>
        <w:spacing w:after="0" w:line="249" w:lineRule="auto"/>
        <w:rPr>
          <w:sz w:val="20"/>
          <w:szCs w:val="20"/>
          <w:color w:val="auto"/>
        </w:rPr>
      </w:pPr>
      <w:r>
        <w:rPr>
          <w:rFonts w:ascii="Times New Roman" w:cs="Times New Roman" w:eastAsia="Times New Roman" w:hAnsi="Times New Roman"/>
          <w:sz w:val="14"/>
          <w:szCs w:val="14"/>
          <w:color w:val="auto"/>
        </w:rPr>
        <w:t>The Indenture [</w:t>
      </w:r>
      <w:r>
        <w:rPr>
          <w:rFonts w:ascii="Times New Roman" w:cs="Times New Roman" w:eastAsia="Times New Roman" w:hAnsi="Times New Roman"/>
          <w:sz w:val="14"/>
          <w:szCs w:val="14"/>
          <w:i w:val="1"/>
          <w:iCs w:val="1"/>
          <w:color w:val="auto"/>
        </w:rPr>
        <w:t>as amended by the Supplemental Indenture</w:t>
      </w:r>
      <w:r>
        <w:rPr>
          <w:rFonts w:ascii="Times New Roman" w:cs="Times New Roman" w:eastAsia="Times New Roman" w:hAnsi="Times New Roman"/>
          <w:sz w:val="14"/>
          <w:szCs w:val="14"/>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Times New Roman" w:cs="Times New Roman" w:eastAsia="Times New Roman" w:hAnsi="Times New Roman"/>
          <w:sz w:val="14"/>
          <w:szCs w:val="14"/>
          <w:i w:val="1"/>
          <w:iCs w:val="1"/>
          <w:color w:val="auto"/>
        </w:rPr>
        <w:t>apply</w:t>
      </w:r>
      <w:r>
        <w:rPr>
          <w:rFonts w:ascii="Times New Roman" w:cs="Times New Roman" w:eastAsia="Times New Roman" w:hAnsi="Times New Roman"/>
          <w:sz w:val="14"/>
          <w:szCs w:val="14"/>
          <w:color w:val="auto"/>
        </w:rPr>
        <w:t>] to this Security.</w:t>
      </w:r>
    </w:p>
    <w:p>
      <w:pPr>
        <w:spacing w:after="0" w:line="144" w:lineRule="exact"/>
        <w:rPr>
          <w:sz w:val="20"/>
          <w:szCs w:val="20"/>
          <w:color w:val="auto"/>
        </w:rPr>
      </w:pPr>
    </w:p>
    <w:p>
      <w:pPr>
        <w:ind w:left="1820" w:hanging="477"/>
        <w:spacing w:after="0"/>
        <w:tabs>
          <w:tab w:leader="none" w:pos="18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 Supplement; Waiver.</w:t>
      </w:r>
    </w:p>
    <w:p>
      <w:pPr>
        <w:spacing w:after="0" w:line="163"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4"/>
          <w:szCs w:val="14"/>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153" w:lineRule="exact"/>
        <w:rPr>
          <w:sz w:val="20"/>
          <w:szCs w:val="20"/>
          <w:color w:val="auto"/>
        </w:rPr>
      </w:pPr>
    </w:p>
    <w:p>
      <w:pPr>
        <w:ind w:left="1820" w:hanging="477"/>
        <w:spacing w:after="0"/>
        <w:tabs>
          <w:tab w:leader="none" w:pos="18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and Remedies.</w:t>
      </w:r>
    </w:p>
    <w:p>
      <w:pPr>
        <w:spacing w:after="0" w:line="163" w:lineRule="exact"/>
        <w:rPr>
          <w:sz w:val="20"/>
          <w:szCs w:val="20"/>
          <w:color w:val="auto"/>
        </w:rPr>
      </w:pPr>
    </w:p>
    <w:p>
      <w:pPr>
        <w:ind w:left="1340" w:right="1359" w:firstLine="486"/>
        <w:spacing w:after="0" w:line="288" w:lineRule="auto"/>
        <w:rPr>
          <w:sz w:val="20"/>
          <w:szCs w:val="20"/>
          <w:color w:val="auto"/>
        </w:rPr>
      </w:pPr>
      <w:r>
        <w:rPr>
          <w:rFonts w:ascii="Times New Roman" w:cs="Times New Roman" w:eastAsia="Times New Roman" w:hAnsi="Times New Roman"/>
          <w:sz w:val="12"/>
          <w:szCs w:val="12"/>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 w:cs="Times New Roman" w:eastAsia="Times New Roman" w:hAnsi="Times New Roman"/>
          <w:sz w:val="12"/>
          <w:szCs w:val="12"/>
          <w:i w:val="1"/>
          <w:iCs w:val="1"/>
          <w:color w:val="auto"/>
        </w:rPr>
        <w:t>the entire principal</w:t>
      </w:r>
      <w:r>
        <w:rPr>
          <w:rFonts w:ascii="Times New Roman" w:cs="Times New Roman" w:eastAsia="Times New Roman" w:hAnsi="Times New Roman"/>
          <w:sz w:val="12"/>
          <w:szCs w:val="12"/>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 w:cs="Times New Roman" w:eastAsia="Times New Roman" w:hAnsi="Times New Roman"/>
          <w:sz w:val="12"/>
          <w:szCs w:val="12"/>
          <w:i w:val="1"/>
          <w:iCs w:val="1"/>
          <w:color w:val="auto"/>
        </w:rPr>
        <w:t>the entire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principal</w:t>
      </w:r>
      <w:r>
        <w:rPr>
          <w:rFonts w:ascii="Times New Roman" w:cs="Times New Roman" w:eastAsia="Times New Roman" w:hAnsi="Times New Roman"/>
          <w:sz w:val="12"/>
          <w:szCs w:val="12"/>
          <w:color w:val="auto"/>
        </w:rPr>
        <w:t>] of the Securities then outstanding and interest accrued thereon, if any, shall become automatically due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845820</wp:posOffset>
            </wp:positionV>
            <wp:extent cx="528764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91" w:name="page192"/>
    <w:bookmarkEnd w:id="191"/>
    <w:p>
      <w:pPr>
        <w:ind w:left="1340" w:right="1599"/>
        <w:spacing w:after="0" w:line="261" w:lineRule="auto"/>
        <w:rPr>
          <w:sz w:val="20"/>
          <w:szCs w:val="20"/>
          <w:color w:val="auto"/>
        </w:rPr>
      </w:pPr>
      <w:r>
        <w:rPr>
          <w:rFonts w:ascii="Times New Roman" w:cs="Times New Roman" w:eastAsia="Times New Roman" w:hAnsi="Times New Roman"/>
          <w:sz w:val="14"/>
          <w:szCs w:val="14"/>
          <w:color w:val="auto"/>
        </w:rPr>
        <w:t>Securities notice of certain continuing Defaults or Events of Default if it determines that withholding notice is in their interest.</w:t>
      </w:r>
    </w:p>
    <w:p>
      <w:pPr>
        <w:spacing w:after="0" w:line="136" w:lineRule="exact"/>
        <w:rPr>
          <w:sz w:val="20"/>
          <w:szCs w:val="20"/>
          <w:color w:val="auto"/>
        </w:rPr>
      </w:pPr>
    </w:p>
    <w:p>
      <w:pPr>
        <w:ind w:left="1820" w:hanging="477"/>
        <w:spacing w:after="0"/>
        <w:tabs>
          <w:tab w:leader="none" w:pos="18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Subordination.</w:t>
      </w:r>
    </w:p>
    <w:p>
      <w:pPr>
        <w:spacing w:after="0" w:line="163" w:lineRule="exact"/>
        <w:rPr>
          <w:sz w:val="20"/>
          <w:szCs w:val="20"/>
          <w:color w:val="auto"/>
        </w:rPr>
      </w:pPr>
    </w:p>
    <w:p>
      <w:pPr>
        <w:ind w:left="1340" w:right="1359" w:firstLine="486"/>
        <w:spacing w:after="0" w:line="248" w:lineRule="auto"/>
        <w:rPr>
          <w:sz w:val="20"/>
          <w:szCs w:val="20"/>
          <w:color w:val="auto"/>
        </w:rPr>
      </w:pPr>
      <w:r>
        <w:rPr>
          <w:rFonts w:ascii="Times New Roman" w:cs="Times New Roman" w:eastAsia="Times New Roman" w:hAnsi="Times New Roman"/>
          <w:sz w:val="14"/>
          <w:szCs w:val="14"/>
          <w:color w:val="auto"/>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spacing w:after="0" w:line="145" w:lineRule="exact"/>
        <w:rPr>
          <w:sz w:val="20"/>
          <w:szCs w:val="20"/>
          <w:color w:val="auto"/>
        </w:rPr>
      </w:pPr>
    </w:p>
    <w:p>
      <w:pPr>
        <w:ind w:left="1820" w:hanging="477"/>
        <w:spacing w:after="0"/>
        <w:tabs>
          <w:tab w:leader="none" w:pos="18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 Dealings with Issuer.</w:t>
      </w:r>
    </w:p>
    <w:p>
      <w:pPr>
        <w:spacing w:after="0" w:line="163" w:lineRule="exact"/>
        <w:rPr>
          <w:sz w:val="20"/>
          <w:szCs w:val="20"/>
          <w:color w:val="auto"/>
        </w:rPr>
      </w:pPr>
    </w:p>
    <w:p>
      <w:pPr>
        <w:ind w:left="1340" w:right="1439" w:firstLine="486"/>
        <w:spacing w:after="0" w:line="261" w:lineRule="auto"/>
        <w:rPr>
          <w:sz w:val="20"/>
          <w:szCs w:val="20"/>
          <w:color w:val="auto"/>
        </w:rPr>
      </w:pPr>
      <w:r>
        <w:rPr>
          <w:rFonts w:ascii="Times New Roman" w:cs="Times New Roman" w:eastAsia="Times New Roman" w:hAnsi="Times New Roman"/>
          <w:sz w:val="14"/>
          <w:szCs w:val="14"/>
          <w:color w:val="auto"/>
        </w:rPr>
        <w:t>The Trustee under the Indenture, in its individual or any other capacity, may become the owner or pledgee of Securities and may otherwise deal with the Issuer as if it were not the Trustee.</w:t>
      </w:r>
    </w:p>
    <w:p>
      <w:pPr>
        <w:spacing w:after="0" w:line="136" w:lineRule="exact"/>
        <w:rPr>
          <w:sz w:val="20"/>
          <w:szCs w:val="20"/>
          <w:color w:val="auto"/>
        </w:rPr>
      </w:pPr>
    </w:p>
    <w:p>
      <w:pPr>
        <w:ind w:left="1820" w:hanging="477"/>
        <w:spacing w:after="0"/>
        <w:tabs>
          <w:tab w:leader="none" w:pos="18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Recourse Against Others.</w:t>
      </w:r>
    </w:p>
    <w:p>
      <w:pPr>
        <w:spacing w:after="0" w:line="163"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4"/>
          <w:szCs w:val="14"/>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48" w:lineRule="exact"/>
        <w:rPr>
          <w:sz w:val="20"/>
          <w:szCs w:val="20"/>
          <w:color w:val="auto"/>
        </w:rPr>
      </w:pPr>
    </w:p>
    <w:p>
      <w:pPr>
        <w:ind w:left="1820" w:hanging="477"/>
        <w:spacing w:after="0"/>
        <w:tabs>
          <w:tab w:leader="none" w:pos="182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Authentication.</w:t>
      </w:r>
    </w:p>
    <w:p>
      <w:pPr>
        <w:spacing w:after="0" w:line="16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This Security shall not be valid until the Trustee manually signs the certificate of authentication on this</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Security.</w:t>
      </w:r>
    </w:p>
    <w:p>
      <w:pPr>
        <w:spacing w:after="0" w:line="151" w:lineRule="exact"/>
        <w:rPr>
          <w:sz w:val="20"/>
          <w:szCs w:val="20"/>
          <w:color w:val="auto"/>
        </w:rPr>
      </w:pPr>
    </w:p>
    <w:p>
      <w:pPr>
        <w:ind w:left="1820" w:hanging="477"/>
        <w:spacing w:after="0"/>
        <w:tabs>
          <w:tab w:leader="none" w:pos="18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Abbreviations and Defined Terms.</w:t>
      </w:r>
    </w:p>
    <w:p>
      <w:pPr>
        <w:spacing w:after="0" w:line="163" w:lineRule="exact"/>
        <w:rPr>
          <w:sz w:val="20"/>
          <w:szCs w:val="20"/>
          <w:color w:val="auto"/>
        </w:rPr>
      </w:pPr>
    </w:p>
    <w:p>
      <w:pPr>
        <w:ind w:left="1340" w:right="1479" w:firstLine="486"/>
        <w:spacing w:after="0" w:line="313" w:lineRule="auto"/>
        <w:rPr>
          <w:sz w:val="20"/>
          <w:szCs w:val="20"/>
          <w:color w:val="auto"/>
        </w:rPr>
      </w:pPr>
      <w:r>
        <w:rPr>
          <w:rFonts w:ascii="Times New Roman" w:cs="Times New Roman" w:eastAsia="Times New Roman" w:hAnsi="Times New Roman"/>
          <w:sz w:val="12"/>
          <w:szCs w:val="12"/>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08" w:lineRule="exact"/>
        <w:rPr>
          <w:sz w:val="20"/>
          <w:szCs w:val="20"/>
          <w:color w:val="auto"/>
        </w:rPr>
      </w:pPr>
    </w:p>
    <w:p>
      <w:pPr>
        <w:ind w:left="1820" w:hanging="477"/>
        <w:spacing w:after="0"/>
        <w:tabs>
          <w:tab w:leader="none" w:pos="18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CUSIP Numbers.</w:t>
      </w:r>
    </w:p>
    <w:p>
      <w:pPr>
        <w:spacing w:after="0" w:line="163" w:lineRule="exact"/>
        <w:rPr>
          <w:sz w:val="20"/>
          <w:szCs w:val="20"/>
          <w:color w:val="auto"/>
        </w:rPr>
      </w:pPr>
    </w:p>
    <w:p>
      <w:pPr>
        <w:ind w:left="1340" w:right="1359" w:firstLine="486"/>
        <w:spacing w:after="0" w:line="248" w:lineRule="auto"/>
        <w:rPr>
          <w:sz w:val="20"/>
          <w:szCs w:val="20"/>
          <w:color w:val="auto"/>
        </w:rPr>
      </w:pPr>
      <w:r>
        <w:rPr>
          <w:rFonts w:ascii="Times New Roman" w:cs="Times New Roman" w:eastAsia="Times New Roman" w:hAnsi="Times New Roman"/>
          <w:sz w:val="14"/>
          <w:szCs w:val="14"/>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45" w:lineRule="exact"/>
        <w:rPr>
          <w:sz w:val="20"/>
          <w:szCs w:val="20"/>
          <w:color w:val="auto"/>
        </w:rPr>
      </w:pPr>
    </w:p>
    <w:p>
      <w:pPr>
        <w:ind w:left="1820" w:hanging="477"/>
        <w:spacing w:after="0"/>
        <w:tabs>
          <w:tab w:leader="none" w:pos="18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Governing Law.</w:t>
      </w:r>
    </w:p>
    <w:p>
      <w:pPr>
        <w:spacing w:after="0" w:line="163" w:lineRule="exact"/>
        <w:rPr>
          <w:sz w:val="20"/>
          <w:szCs w:val="20"/>
          <w:color w:val="auto"/>
        </w:rPr>
      </w:pPr>
    </w:p>
    <w:p>
      <w:pPr>
        <w:ind w:left="1340" w:right="1359" w:firstLine="486"/>
        <w:spacing w:after="0" w:line="248" w:lineRule="auto"/>
        <w:rPr>
          <w:sz w:val="20"/>
          <w:szCs w:val="20"/>
          <w:color w:val="auto"/>
        </w:rPr>
      </w:pPr>
      <w:r>
        <w:rPr>
          <w:rFonts w:ascii="Times New Roman" w:cs="Times New Roman" w:eastAsia="Times New Roman" w:hAnsi="Times New Roman"/>
          <w:sz w:val="14"/>
          <w:szCs w:val="14"/>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756285</wp:posOffset>
            </wp:positionV>
            <wp:extent cx="528764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92" w:name="page193"/>
    <w:bookmarkEnd w:id="192"/>
    <w:p>
      <w:pPr>
        <w:ind w:left="3820"/>
        <w:spacing w:after="0"/>
        <w:rPr>
          <w:sz w:val="20"/>
          <w:szCs w:val="20"/>
          <w:color w:val="auto"/>
        </w:rPr>
      </w:pPr>
      <w:r>
        <w:rPr>
          <w:rFonts w:ascii="Times New Roman" w:cs="Times New Roman" w:eastAsia="Times New Roman" w:hAnsi="Times New Roman"/>
          <w:sz w:val="14"/>
          <w:szCs w:val="14"/>
          <w:b w:val="1"/>
          <w:bCs w:val="1"/>
          <w:color w:val="auto"/>
        </w:rPr>
        <w:t>ASSIGNMENT FORM</w:t>
      </w:r>
    </w:p>
    <w:p>
      <w:pPr>
        <w:spacing w:after="0" w:line="16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I or we assign and transfer this Security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-99695</wp:posOffset>
            </wp:positionV>
            <wp:extent cx="401447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4014470" cy="635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214630</wp:posOffset>
            </wp:positionV>
            <wp:extent cx="401447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(Insert Social Security or other identifying number of assignee or transferee)</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and irrevocably appoint ______________________________________________ agent to transfer this Security on</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books of the Issuer. 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40"/>
        <w:spacing w:after="0"/>
        <w:tabs>
          <w:tab w:leader="none" w:pos="40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(Signed exactly as name appears on the other</w:t>
      </w:r>
    </w:p>
    <w:p>
      <w:pPr>
        <w:spacing w:after="0" w:line="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side of this Security)</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Signature</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Guarantee:</w:t>
      </w:r>
    </w:p>
    <w:p>
      <w:pPr>
        <w:spacing w:after="0" w:line="3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Participant in a recognized Signature Guarantee Medallion Program (or other</w:t>
      </w:r>
    </w:p>
    <w:p>
      <w:pPr>
        <w:spacing w:after="0" w:line="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862965</wp:posOffset>
            </wp:positionV>
            <wp:extent cx="528764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5" w:right="1440" w:bottom="1440" w:gutter="0" w:footer="0" w:header="0"/>
        </w:sectPr>
      </w:pPr>
    </w:p>
    <w:bookmarkStart w:id="193" w:name="page194"/>
    <w:bookmarkEnd w:id="193"/>
    <w:p>
      <w:pPr>
        <w:ind w:left="7000"/>
        <w:spacing w:after="0"/>
        <w:rPr>
          <w:sz w:val="20"/>
          <w:szCs w:val="20"/>
          <w:color w:val="auto"/>
        </w:rPr>
      </w:pPr>
      <w:r>
        <w:rPr>
          <w:rFonts w:ascii="Times New Roman" w:cs="Times New Roman" w:eastAsia="Times New Roman" w:hAnsi="Times New Roman"/>
          <w:sz w:val="12"/>
          <w:szCs w:val="1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128905</wp:posOffset>
            </wp:positionV>
            <wp:extent cx="797560" cy="1028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797560" cy="102870"/>
                    </a:xfrm>
                    <a:prstGeom prst="rect">
                      <a:avLst/>
                    </a:prstGeom>
                    <a:noFill/>
                  </pic:spPr>
                </pic:pic>
              </a:graphicData>
            </a:graphic>
          </wp:anchor>
        </w:drawing>
      </w:r>
    </w:p>
    <w:p>
      <w:pPr>
        <w:sectPr>
          <w:pgSz w:w="11900" w:h="16838" w:orient="portrait"/>
          <w:cols w:equalWidth="0" w:num="1">
            <w:col w:w="9019"/>
          </w:cols>
          <w:pgMar w:left="1440" w:top="6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27, 2026</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828 Winter Street, Suite 300</w:t>
      </w:r>
    </w:p>
    <w:p>
      <w:pPr>
        <w:ind w:left="1340"/>
        <w:spacing w:after="0"/>
        <w:rPr>
          <w:sz w:val="20"/>
          <w:szCs w:val="20"/>
          <w:color w:val="auto"/>
        </w:rPr>
      </w:pPr>
      <w:r>
        <w:rPr>
          <w:rFonts w:ascii="Times New Roman" w:cs="Times New Roman" w:eastAsia="Times New Roman" w:hAnsi="Times New Roman"/>
          <w:sz w:val="16"/>
          <w:szCs w:val="16"/>
          <w:color w:val="auto"/>
        </w:rPr>
        <w:t>Waltham, Massachusetts 02451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0"/>
          <w:szCs w:val="10"/>
          <w:color w:val="auto"/>
        </w:rPr>
        <w:t>+1 617 526 6000 (t)</w:t>
      </w:r>
    </w:p>
    <w:p>
      <w:pPr>
        <w:spacing w:after="0" w:line="47" w:lineRule="exact"/>
        <w:rPr>
          <w:sz w:val="20"/>
          <w:szCs w:val="20"/>
          <w:color w:val="auto"/>
        </w:rPr>
      </w:pPr>
    </w:p>
    <w:p>
      <w:pPr>
        <w:jc w:val="right"/>
        <w:ind w:right="1359"/>
        <w:spacing w:after="0"/>
        <w:rPr>
          <w:sz w:val="20"/>
          <w:szCs w:val="20"/>
          <w:color w:val="auto"/>
        </w:rPr>
      </w:pPr>
      <w:r>
        <w:rPr>
          <w:rFonts w:ascii="Arial" w:cs="Arial" w:eastAsia="Arial" w:hAnsi="Arial"/>
          <w:sz w:val="10"/>
          <w:szCs w:val="10"/>
          <w:color w:val="auto"/>
        </w:rPr>
        <w:t>+1 617 526 5000 (f)</w:t>
      </w:r>
    </w:p>
    <w:p>
      <w:pPr>
        <w:spacing w:after="0" w:line="17" w:lineRule="exact"/>
        <w:rPr>
          <w:sz w:val="20"/>
          <w:szCs w:val="20"/>
          <w:color w:val="auto"/>
        </w:rPr>
      </w:pPr>
    </w:p>
    <w:p>
      <w:pPr>
        <w:jc w:val="right"/>
        <w:ind w:right="1359"/>
        <w:spacing w:after="0"/>
        <w:rPr>
          <w:sz w:val="20"/>
          <w:szCs w:val="20"/>
          <w:color w:val="auto"/>
        </w:rPr>
      </w:pPr>
      <w:r>
        <w:rPr>
          <w:rFonts w:ascii="Arial" w:cs="Arial" w:eastAsia="Arial" w:hAnsi="Arial"/>
          <w:sz w:val="11"/>
          <w:szCs w:val="11"/>
          <w:color w:val="auto"/>
        </w:rPr>
        <w:t>wilmerhale.com</w:t>
      </w:r>
    </w:p>
    <w:p>
      <w:pPr>
        <w:spacing w:after="0" w:line="882" w:lineRule="exact"/>
        <w:rPr>
          <w:sz w:val="20"/>
          <w:szCs w:val="20"/>
          <w:color w:val="auto"/>
        </w:rPr>
      </w:pPr>
    </w:p>
    <w:p>
      <w:pPr>
        <w:sectPr>
          <w:pgSz w:w="11900" w:h="16838" w:orient="portrait"/>
          <w:cols w:equalWidth="0" w:num="2">
            <w:col w:w="6000" w:space="720"/>
            <w:col w:w="2299"/>
          </w:cols>
          <w:pgMar w:left="1440" w:top="660" w:right="1440" w:bottom="1440" w:gutter="0" w:footer="0" w:header="0"/>
          <w:type w:val="continuous"/>
        </w:sectPr>
      </w:pPr>
    </w:p>
    <w:p>
      <w:pPr>
        <w:ind w:left="1340"/>
        <w:spacing w:after="0"/>
        <w:tabs>
          <w:tab w:leader="none" w:pos="1820"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color w:val="auto"/>
        </w:rPr>
        <w:t>Registration Statement on Form S-3</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60"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This opinion is furnished to you in connection with a Registration Statement on Form S-3 (the “Registration Statement”) to be filed by Xilio Therapeutics, Inc., a Delaware corporation (the “Company”), with the Securities and Exchange Commission (the “Commission”) under the Securities Act of 1933, as amended (the “Securities Act”), for the registration of the following securities of the Company (the “Securities”):</w:t>
      </w:r>
    </w:p>
    <w:p>
      <w:pPr>
        <w:spacing w:after="0" w:line="131" w:lineRule="exact"/>
        <w:rPr>
          <w:sz w:val="20"/>
          <w:szCs w:val="20"/>
          <w:color w:val="auto"/>
        </w:rPr>
      </w:pPr>
    </w:p>
    <w:p>
      <w:pPr>
        <w:ind w:left="2160" w:hanging="331"/>
        <w:spacing w:after="0"/>
        <w:tabs>
          <w:tab w:leader="none" w:pos="21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debt securities (“Senior Debt Securities”);</w:t>
      </w:r>
    </w:p>
    <w:p>
      <w:pPr>
        <w:spacing w:after="0" w:line="160" w:lineRule="exact"/>
        <w:rPr>
          <w:rFonts w:ascii="Times New Roman" w:cs="Times New Roman" w:eastAsia="Times New Roman" w:hAnsi="Times New Roman"/>
          <w:sz w:val="16"/>
          <w:szCs w:val="16"/>
          <w:color w:val="auto"/>
        </w:rPr>
      </w:pPr>
    </w:p>
    <w:p>
      <w:pPr>
        <w:ind w:left="1340" w:right="1459" w:firstLine="489"/>
        <w:spacing w:after="0" w:line="272" w:lineRule="auto"/>
        <w:tabs>
          <w:tab w:leader="none" w:pos="215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subordinated debt securities (“Subordinated Debt Securities” and, together with the Senior Debt Securities, “Debt Securities”);</w:t>
      </w:r>
    </w:p>
    <w:p>
      <w:pPr>
        <w:spacing w:after="0" w:line="109" w:lineRule="exact"/>
        <w:rPr>
          <w:rFonts w:ascii="Times New Roman" w:cs="Times New Roman" w:eastAsia="Times New Roman" w:hAnsi="Times New Roman"/>
          <w:sz w:val="16"/>
          <w:szCs w:val="16"/>
          <w:color w:val="auto"/>
        </w:rPr>
      </w:pPr>
    </w:p>
    <w:p>
      <w:pPr>
        <w:ind w:left="2160" w:hanging="331"/>
        <w:spacing w:after="0"/>
        <w:tabs>
          <w:tab w:leader="none" w:pos="21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par value $0.0001 per share (“Common Stock”);</w:t>
      </w:r>
    </w:p>
    <w:p>
      <w:pPr>
        <w:spacing w:after="0" w:line="160" w:lineRule="exact"/>
        <w:rPr>
          <w:rFonts w:ascii="Times New Roman" w:cs="Times New Roman" w:eastAsia="Times New Roman" w:hAnsi="Times New Roman"/>
          <w:sz w:val="16"/>
          <w:szCs w:val="16"/>
          <w:color w:val="auto"/>
        </w:rPr>
      </w:pPr>
    </w:p>
    <w:p>
      <w:pPr>
        <w:ind w:left="2160" w:hanging="331"/>
        <w:spacing w:after="0"/>
        <w:tabs>
          <w:tab w:leader="none" w:pos="21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par value $0.0001 per share (“Preferred Stock”);</w:t>
      </w:r>
    </w:p>
    <w:p>
      <w:pPr>
        <w:spacing w:after="0" w:line="160" w:lineRule="exact"/>
        <w:rPr>
          <w:rFonts w:ascii="Times New Roman" w:cs="Times New Roman" w:eastAsia="Times New Roman" w:hAnsi="Times New Roman"/>
          <w:sz w:val="16"/>
          <w:szCs w:val="16"/>
          <w:color w:val="auto"/>
        </w:rPr>
      </w:pPr>
    </w:p>
    <w:p>
      <w:pPr>
        <w:ind w:left="1340" w:right="1719" w:firstLine="489"/>
        <w:spacing w:after="0" w:line="272" w:lineRule="auto"/>
        <w:tabs>
          <w:tab w:leader="none" w:pos="215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consisting of one or more securities, including Common Stock, Preferred Stock, Debt Securities, Warrants or any other securities (“Units”); and</w:t>
      </w:r>
    </w:p>
    <w:p>
      <w:pPr>
        <w:spacing w:after="0" w:line="109" w:lineRule="exact"/>
        <w:rPr>
          <w:rFonts w:ascii="Times New Roman" w:cs="Times New Roman" w:eastAsia="Times New Roman" w:hAnsi="Times New Roman"/>
          <w:sz w:val="16"/>
          <w:szCs w:val="16"/>
          <w:color w:val="auto"/>
        </w:rPr>
      </w:pPr>
    </w:p>
    <w:p>
      <w:pPr>
        <w:ind w:left="1340" w:right="1379" w:firstLine="489"/>
        <w:spacing w:after="0" w:line="272" w:lineRule="auto"/>
        <w:tabs>
          <w:tab w:leader="none" w:pos="215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Debt Securities, Common Stock, Preferred Stock or Depositary Shares (“Warrants”),</w:t>
      </w:r>
    </w:p>
    <w:p>
      <w:pPr>
        <w:spacing w:after="0" w:line="110" w:lineRule="exact"/>
        <w:rPr>
          <w:sz w:val="20"/>
          <w:szCs w:val="20"/>
          <w:color w:val="auto"/>
        </w:rPr>
      </w:pPr>
    </w:p>
    <w:p>
      <w:pPr>
        <w:ind w:left="1340" w:right="1439"/>
        <w:spacing w:after="0" w:line="249" w:lineRule="auto"/>
        <w:rPr>
          <w:sz w:val="20"/>
          <w:szCs w:val="20"/>
          <w:color w:val="auto"/>
        </w:rPr>
      </w:pPr>
      <w:r>
        <w:rPr>
          <w:rFonts w:ascii="Times New Roman" w:cs="Times New Roman" w:eastAsia="Times New Roman" w:hAnsi="Times New Roman"/>
          <w:sz w:val="16"/>
          <w:szCs w:val="16"/>
          <w:color w:val="auto"/>
        </w:rPr>
        <w:t>all of which may be issued from time to time on a delayed or continuous basis pursuant to Rule 415 under the Securities Act with an aggregate offering price of up to $250,000,000, as set forth in the Registration Statement and the base prospectus contained therein (the “Prospectus”) and any amendments or supplements thereto.</w:t>
      </w:r>
    </w:p>
    <w:p>
      <w:pPr>
        <w:spacing w:after="0" w:line="128"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We are acting as counsel for the Company in connection with the filing of the Registration Statement. The Senior Debt Securities may be issued pursuant to a senior indenture (the “Senior Indenture”) to be entered into between the Company and a trustee to be named, as trustee (the “Senior Trustee”) and duly qualified under the Trust Indenture Act of 1939, as amended (the “Trust Indenture Act”). The Subordinated Debt Securities may be issued pursuant to a subordinated indenture (the “Subordinated Indenture,” and together with the Senior Indenture, the “Indentures,” and each individually, an “Indenture”) to be entered into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652145</wp:posOffset>
            </wp:positionV>
            <wp:extent cx="528764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175895</wp:posOffset>
            </wp:positionV>
            <wp:extent cx="4001135" cy="167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4001135" cy="167005"/>
                    </a:xfrm>
                    <a:prstGeom prst="rect">
                      <a:avLst/>
                    </a:prstGeom>
                    <a:noFill/>
                  </pic:spPr>
                </pic:pic>
              </a:graphicData>
            </a:graphic>
          </wp:anchor>
        </w:drawing>
      </w:r>
    </w:p>
    <w:p>
      <w:pPr>
        <w:sectPr>
          <w:pgSz w:w="11900" w:h="16838" w:orient="portrait"/>
          <w:cols w:equalWidth="0" w:num="1">
            <w:col w:w="9019"/>
          </w:cols>
          <w:pgMar w:left="1440" w:top="660" w:right="1440" w:bottom="1440" w:gutter="0" w:footer="0" w:header="0"/>
          <w:type w:val="continuous"/>
        </w:sectPr>
      </w:pPr>
    </w:p>
    <w:bookmarkStart w:id="194" w:name="page195"/>
    <w:bookmarkEnd w:id="194"/>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27, 2026</w:t>
      </w:r>
    </w:p>
    <w:p>
      <w:pPr>
        <w:ind w:left="1340"/>
        <w:spacing w:after="0"/>
        <w:rPr>
          <w:sz w:val="20"/>
          <w:szCs w:val="20"/>
          <w:color w:val="auto"/>
        </w:rPr>
      </w:pPr>
      <w:r>
        <w:rPr>
          <w:rFonts w:ascii="Times New Roman" w:cs="Times New Roman" w:eastAsia="Times New Roman" w:hAnsi="Times New Roman"/>
          <w:sz w:val="16"/>
          <w:szCs w:val="16"/>
          <w:color w:val="auto"/>
        </w:rPr>
        <w:t>Page 2</w:t>
      </w:r>
    </w:p>
    <w:p>
      <w:pPr>
        <w:spacing w:after="0" w:line="200" w:lineRule="exact"/>
        <w:rPr>
          <w:sz w:val="20"/>
          <w:szCs w:val="20"/>
          <w:color w:val="auto"/>
        </w:rPr>
      </w:pPr>
    </w:p>
    <w:p>
      <w:pPr>
        <w:spacing w:after="0" w:line="307" w:lineRule="exact"/>
        <w:rPr>
          <w:sz w:val="20"/>
          <w:szCs w:val="20"/>
          <w:color w:val="auto"/>
        </w:rPr>
      </w:pPr>
    </w:p>
    <w:p>
      <w:pPr>
        <w:ind w:left="1340" w:right="1359"/>
        <w:spacing w:after="0" w:line="242" w:lineRule="auto"/>
        <w:rPr>
          <w:sz w:val="20"/>
          <w:szCs w:val="20"/>
          <w:color w:val="auto"/>
        </w:rPr>
      </w:pPr>
      <w:r>
        <w:rPr>
          <w:rFonts w:ascii="Times New Roman" w:cs="Times New Roman" w:eastAsia="Times New Roman" w:hAnsi="Times New Roman"/>
          <w:sz w:val="16"/>
          <w:szCs w:val="16"/>
          <w:color w:val="auto"/>
        </w:rPr>
        <w:t>the Company and a trustee to be named,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Units may be issued pursuant to a Unit Agreement (the “Unit Agreement”) to be entered into between the Company and a bank or trust company to be named, as unit agent. The Warrants may be issued pursuant to a warrant agreement (the “Warrant Agreement”) to be entered into between the Company and a bank or trust company to be named, as warrant agent.</w:t>
      </w:r>
    </w:p>
    <w:p>
      <w:pPr>
        <w:spacing w:after="0" w:line="137"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We are also acting as counsel for the Company in connection with the sales agreement prospectus included in the Registration Statement (the “Sales Agreement Prospectus”) relating to the issuance and sale of shares of Common Stock having an aggregate offering price of up to $14,500,000 (the “Sales Agreement Shares”) under a Sales Agreement, dated March 11, 2025, between the Company and Leerink Partners LLC, as agent (the “Sales Agreement”).</w:t>
      </w:r>
    </w:p>
    <w:p>
      <w:pPr>
        <w:spacing w:after="0" w:line="131" w:lineRule="exact"/>
        <w:rPr>
          <w:sz w:val="20"/>
          <w:szCs w:val="20"/>
          <w:color w:val="auto"/>
        </w:rPr>
      </w:pPr>
    </w:p>
    <w:p>
      <w:pPr>
        <w:ind w:left="1340" w:right="1419" w:firstLine="486"/>
        <w:spacing w:after="0" w:line="243" w:lineRule="auto"/>
        <w:rPr>
          <w:sz w:val="20"/>
          <w:szCs w:val="20"/>
          <w:color w:val="auto"/>
        </w:rPr>
      </w:pPr>
      <w:r>
        <w:rPr>
          <w:rFonts w:ascii="Times New Roman" w:cs="Times New Roman" w:eastAsia="Times New Roman" w:hAnsi="Times New Roman"/>
          <w:sz w:val="16"/>
          <w:szCs w:val="16"/>
          <w:color w:val="auto"/>
        </w:rPr>
        <w:t>We have examined and relied upon signed copies of the Registration Statement to be filed with the Commission, including the exhibits thereto. We have also examined and relied upon the Sales Agreement, the Restated Certificate of Incorporation of the Company (as amended or restated from time to time, the “Certificate of Incorporation”), the Second Amended and Restated Bylaws of the Company (as amended or restated from time to time, the “Bylaws”) and minutes of meetings of the stockholders and the Board of Directors of the Company including duly authorized committees thereof as provided to us by the Company.</w:t>
      </w:r>
    </w:p>
    <w:p>
      <w:pPr>
        <w:spacing w:after="0" w:line="135"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spacing w:after="0" w:line="13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We have relied as to certain matters on information obtained from public officials and officers of the Company, and we have assumed that (i) the Registration Statement will be effective and will comply with all applicable laws at the time Securities are offered or issued as contemplated by the Registration Statement; (ii) other than for the Sales Agreement Shares,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the Sales Agreement Prospectus, as applicable, and any applicable prospectus supplement; (iv) in the case of Debt Securities, (a) the applicable Indenture will be duly authorized, executed and delivered by the applicable Trustee in substantially the form filed as Exhibit 4.3 or Exhibit 4.4 to the Registration Statement, (b) the applicable Trustee will be duly eligible to serve as trustee, and (c) the Debt Securities will be duly authenticated by the Trustee named in the applicable Indenture; (v) any Unit Agreement or Warrant Agreement, as applicable, will be duly authorized, executed and delivered by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654685</wp:posOffset>
            </wp:positionV>
            <wp:extent cx="528764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5" w:name="page196"/>
    <w:bookmarkEnd w:id="195"/>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27, 2026</w:t>
      </w:r>
    </w:p>
    <w:p>
      <w:pPr>
        <w:ind w:left="1340"/>
        <w:spacing w:after="0"/>
        <w:rPr>
          <w:sz w:val="20"/>
          <w:szCs w:val="20"/>
          <w:color w:val="auto"/>
        </w:rPr>
      </w:pPr>
      <w:r>
        <w:rPr>
          <w:rFonts w:ascii="Times New Roman" w:cs="Times New Roman" w:eastAsia="Times New Roman" w:hAnsi="Times New Roman"/>
          <w:sz w:val="16"/>
          <w:szCs w:val="16"/>
          <w:color w:val="auto"/>
        </w:rPr>
        <w:t>Page 3</w:t>
      </w:r>
    </w:p>
    <w:p>
      <w:pPr>
        <w:spacing w:after="0" w:line="200" w:lineRule="exact"/>
        <w:rPr>
          <w:sz w:val="20"/>
          <w:szCs w:val="20"/>
          <w:color w:val="auto"/>
        </w:rPr>
      </w:pPr>
    </w:p>
    <w:p>
      <w:pPr>
        <w:spacing w:after="0" w:line="307"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6"/>
          <w:szCs w:val="16"/>
          <w:color w:val="auto"/>
        </w:rPr>
        <w:t>thereto other than the Company; (vi) other than for the Sales Agreement Shares, a definitive purchase, underwriting or similar agreement with respect to any Securities offered will be duly authorized, executed and delivered by all parties thereto other than the Company; (vii) 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 (ix) if issued in uncertificated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Unit Agreement or Warrant Agreement will be governed by the laws of the State of New York or Delaware.</w:t>
      </w:r>
    </w:p>
    <w:p>
      <w:pPr>
        <w:spacing w:after="0" w:line="141" w:lineRule="exact"/>
        <w:rPr>
          <w:sz w:val="20"/>
          <w:szCs w:val="20"/>
          <w:color w:val="auto"/>
        </w:rPr>
      </w:pPr>
    </w:p>
    <w:p>
      <w:pPr>
        <w:ind w:left="1340" w:right="1539" w:firstLine="486"/>
        <w:spacing w:after="0" w:line="246" w:lineRule="auto"/>
        <w:rPr>
          <w:sz w:val="20"/>
          <w:szCs w:val="20"/>
          <w:color w:val="auto"/>
        </w:rPr>
      </w:pPr>
      <w:r>
        <w:rPr>
          <w:rFonts w:ascii="Times New Roman" w:cs="Times New Roman" w:eastAsia="Times New Roman" w:hAnsi="Times New Roman"/>
          <w:sz w:val="16"/>
          <w:szCs w:val="16"/>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such Securities.</w:t>
      </w:r>
    </w:p>
    <w:p>
      <w:pPr>
        <w:spacing w:after="0" w:line="1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Our opinions below are qualified to the extent that they may be subject to or affected by</w:t>
      </w:r>
    </w:p>
    <w:p>
      <w:pPr>
        <w:spacing w:after="0" w:line="16" w:lineRule="exact"/>
        <w:rPr>
          <w:sz w:val="20"/>
          <w:szCs w:val="20"/>
          <w:color w:val="auto"/>
        </w:rPr>
      </w:pPr>
    </w:p>
    <w:p>
      <w:pPr>
        <w:ind w:left="1340" w:right="1499" w:firstLine="3"/>
        <w:spacing w:after="0" w:line="239" w:lineRule="auto"/>
        <w:tabs>
          <w:tab w:leader="none" w:pos="153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652780</wp:posOffset>
            </wp:positionV>
            <wp:extent cx="528764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6" w:name="page197"/>
    <w:bookmarkEnd w:id="196"/>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27, 2026</w:t>
      </w:r>
    </w:p>
    <w:p>
      <w:pPr>
        <w:ind w:left="1340"/>
        <w:spacing w:after="0"/>
        <w:rPr>
          <w:sz w:val="20"/>
          <w:szCs w:val="20"/>
          <w:color w:val="auto"/>
        </w:rPr>
      </w:pPr>
      <w:r>
        <w:rPr>
          <w:rFonts w:ascii="Times New Roman" w:cs="Times New Roman" w:eastAsia="Times New Roman" w:hAnsi="Times New Roman"/>
          <w:sz w:val="16"/>
          <w:szCs w:val="16"/>
          <w:color w:val="auto"/>
        </w:rPr>
        <w:t>Page 4</w:t>
      </w:r>
    </w:p>
    <w:p>
      <w:pPr>
        <w:spacing w:after="0" w:line="200" w:lineRule="exact"/>
        <w:rPr>
          <w:sz w:val="20"/>
          <w:szCs w:val="20"/>
          <w:color w:val="auto"/>
        </w:rPr>
      </w:pPr>
    </w:p>
    <w:p>
      <w:pPr>
        <w:spacing w:after="0" w:line="307" w:lineRule="exact"/>
        <w:rPr>
          <w:sz w:val="20"/>
          <w:szCs w:val="20"/>
          <w:color w:val="auto"/>
        </w:rPr>
      </w:pPr>
    </w:p>
    <w:p>
      <w:pPr>
        <w:ind w:left="1340" w:right="1419"/>
        <w:spacing w:after="0" w:line="242" w:lineRule="auto"/>
        <w:rPr>
          <w:sz w:val="20"/>
          <w:szCs w:val="20"/>
          <w:color w:val="auto"/>
        </w:rPr>
      </w:pPr>
      <w:r>
        <w:rPr>
          <w:rFonts w:ascii="Times New Roman" w:cs="Times New Roman" w:eastAsia="Times New Roman" w:hAnsi="Times New Roman"/>
          <w:sz w:val="16"/>
          <w:szCs w:val="16"/>
          <w:color w:val="auto"/>
        </w:rPr>
        <w:t>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37"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3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Based upon and subject to the foregoing, we are of the opinion that:</w:t>
      </w:r>
    </w:p>
    <w:p>
      <w:pPr>
        <w:spacing w:after="0" w:line="160" w:lineRule="exact"/>
        <w:rPr>
          <w:sz w:val="20"/>
          <w:szCs w:val="20"/>
          <w:color w:val="auto"/>
        </w:rPr>
      </w:pPr>
    </w:p>
    <w:p>
      <w:pPr>
        <w:ind w:left="1340" w:right="1419" w:firstLine="489"/>
        <w:spacing w:after="0"/>
        <w:tabs>
          <w:tab w:leader="none" w:pos="215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Debt Securities, when (i) specifically authorized for issuance by proper action of the Board of Directors of the Company or an authorized committee thereof (the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652780</wp:posOffset>
            </wp:positionV>
            <wp:extent cx="528764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7" w:name="page198"/>
    <w:bookmarkEnd w:id="197"/>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27, 2026</w:t>
      </w:r>
    </w:p>
    <w:p>
      <w:pPr>
        <w:ind w:left="1340"/>
        <w:spacing w:after="0"/>
        <w:rPr>
          <w:sz w:val="20"/>
          <w:szCs w:val="20"/>
          <w:color w:val="auto"/>
        </w:rPr>
      </w:pPr>
      <w:r>
        <w:rPr>
          <w:rFonts w:ascii="Times New Roman" w:cs="Times New Roman" w:eastAsia="Times New Roman" w:hAnsi="Times New Roman"/>
          <w:sz w:val="16"/>
          <w:szCs w:val="16"/>
          <w:color w:val="auto"/>
        </w:rPr>
        <w:t>Page 5</w:t>
      </w:r>
    </w:p>
    <w:p>
      <w:pPr>
        <w:spacing w:after="0" w:line="200" w:lineRule="exact"/>
        <w:rPr>
          <w:sz w:val="20"/>
          <w:szCs w:val="20"/>
          <w:color w:val="auto"/>
        </w:rPr>
      </w:pPr>
    </w:p>
    <w:p>
      <w:pPr>
        <w:spacing w:after="0" w:line="307" w:lineRule="exact"/>
        <w:rPr>
          <w:sz w:val="20"/>
          <w:szCs w:val="20"/>
          <w:color w:val="auto"/>
        </w:rPr>
      </w:pPr>
    </w:p>
    <w:p>
      <w:pPr>
        <w:ind w:left="1340" w:right="1379" w:firstLine="489"/>
        <w:spacing w:after="0" w:line="241" w:lineRule="auto"/>
        <w:tabs>
          <w:tab w:leader="none" w:pos="215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Common Stock (other than the Sales Agreement Shares),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or exercise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p>
    <w:p>
      <w:pPr>
        <w:spacing w:after="0" w:line="133" w:lineRule="exact"/>
        <w:rPr>
          <w:rFonts w:ascii="Times New Roman" w:cs="Times New Roman" w:eastAsia="Times New Roman" w:hAnsi="Times New Roman"/>
          <w:sz w:val="16"/>
          <w:szCs w:val="16"/>
          <w:color w:val="auto"/>
        </w:rPr>
      </w:pPr>
    </w:p>
    <w:p>
      <w:pPr>
        <w:ind w:left="1340" w:right="1359" w:firstLine="489"/>
        <w:spacing w:after="0"/>
        <w:tabs>
          <w:tab w:leader="none" w:pos="215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any series of Preferred Stock, when (i) the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and such Certificate of Designation has been duly filed with the Secretary of State of the State of Delaware, (ii) the terms of the issuance and sale of the series of Preferred Stock have been duly established in conformity with the Certificate of Incorporation, Bylaws and Authorizing Resolutions, (iii)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spacing w:after="0" w:line="136" w:lineRule="exact"/>
        <w:rPr>
          <w:rFonts w:ascii="Times New Roman" w:cs="Times New Roman" w:eastAsia="Times New Roman" w:hAnsi="Times New Roman"/>
          <w:sz w:val="16"/>
          <w:szCs w:val="16"/>
          <w:color w:val="auto"/>
        </w:rPr>
      </w:pPr>
    </w:p>
    <w:p>
      <w:pPr>
        <w:ind w:left="1340" w:right="1419" w:firstLine="489"/>
        <w:spacing w:after="0" w:line="243" w:lineRule="auto"/>
        <w:tabs>
          <w:tab w:leader="none" w:pos="215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Units, when (i) specifically authorized for issuance by Authorizing Resolutions, (ii) any applicable Unit Agreement has been duly authorized, executed and delivered, (iii) the terms of the Units and of their issuance and sale have been duly established in conformity with any applicable Unit Agreement and the Authorizing Resolutions,</w:t>
      </w:r>
    </w:p>
    <w:p>
      <w:pPr>
        <w:spacing w:after="0" w:line="2" w:lineRule="exact"/>
        <w:rPr>
          <w:rFonts w:ascii="Times New Roman" w:cs="Times New Roman" w:eastAsia="Times New Roman" w:hAnsi="Times New Roman"/>
          <w:sz w:val="16"/>
          <w:szCs w:val="16"/>
          <w:color w:val="auto"/>
        </w:rPr>
      </w:pPr>
    </w:p>
    <w:p>
      <w:pPr>
        <w:ind w:left="1340" w:right="1519" w:firstLine="3"/>
        <w:spacing w:after="0" w:line="239" w:lineRule="auto"/>
        <w:tabs>
          <w:tab w:leader="none" w:pos="1615"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Units have been duly executed and delivered in accordance with any applicable Unit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Units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653415</wp:posOffset>
            </wp:positionV>
            <wp:extent cx="528764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8" w:name="page199"/>
    <w:bookmarkEnd w:id="198"/>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27, 2026</w:t>
      </w:r>
    </w:p>
    <w:p>
      <w:pPr>
        <w:ind w:left="1340"/>
        <w:spacing w:after="0"/>
        <w:rPr>
          <w:sz w:val="20"/>
          <w:szCs w:val="20"/>
          <w:color w:val="auto"/>
        </w:rPr>
      </w:pPr>
      <w:r>
        <w:rPr>
          <w:rFonts w:ascii="Times New Roman" w:cs="Times New Roman" w:eastAsia="Times New Roman" w:hAnsi="Times New Roman"/>
          <w:sz w:val="16"/>
          <w:szCs w:val="16"/>
          <w:color w:val="auto"/>
        </w:rPr>
        <w:t>Page 6</w:t>
      </w:r>
    </w:p>
    <w:p>
      <w:pPr>
        <w:spacing w:after="0" w:line="200" w:lineRule="exact"/>
        <w:rPr>
          <w:sz w:val="20"/>
          <w:szCs w:val="20"/>
          <w:color w:val="auto"/>
        </w:rPr>
      </w:pPr>
    </w:p>
    <w:p>
      <w:pPr>
        <w:spacing w:after="0" w:line="307" w:lineRule="exact"/>
        <w:rPr>
          <w:sz w:val="20"/>
          <w:szCs w:val="20"/>
          <w:color w:val="auto"/>
        </w:rPr>
      </w:pPr>
    </w:p>
    <w:p>
      <w:pPr>
        <w:ind w:left="1340" w:right="1419" w:firstLine="489"/>
        <w:spacing w:after="0"/>
        <w:tabs>
          <w:tab w:leader="none" w:pos="215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Warrants, when (i) specifically authorized for issuance by the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the Authorizing Resolutions, (iv) the Warrants have been duly executed by the Company and countersigned in accordance with any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Warrants will constitute valid and binding obligations of the Company enforceable against the Company in accordance with their terms.</w:t>
      </w:r>
    </w:p>
    <w:p>
      <w:pPr>
        <w:spacing w:after="0" w:line="140" w:lineRule="exact"/>
        <w:rPr>
          <w:rFonts w:ascii="Times New Roman" w:cs="Times New Roman" w:eastAsia="Times New Roman" w:hAnsi="Times New Roman"/>
          <w:sz w:val="16"/>
          <w:szCs w:val="16"/>
          <w:color w:val="auto"/>
        </w:rPr>
      </w:pPr>
    </w:p>
    <w:p>
      <w:pPr>
        <w:ind w:left="1340" w:right="1519" w:firstLine="489"/>
        <w:spacing w:after="0" w:line="249" w:lineRule="auto"/>
        <w:tabs>
          <w:tab w:leader="none" w:pos="215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Sales Agreement Shares, such Sales Agreement Shares have been duly authorized for issuance, and when the Sales Agreement Shares have been issued and paid for in accordance with the terms and conditions of the Sales Agreement, the Sales Agreement Shares will be validly issued, fully paid and non-assessable.</w:t>
      </w:r>
    </w:p>
    <w:p>
      <w:pPr>
        <w:spacing w:after="0" w:line="128"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31"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the Sales Agreement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u w:val="single" w:color="auto"/>
          <w:color w:val="auto"/>
        </w:rPr>
        <w:t>/s/ Wilmer Cutler Pickering Hale and Dorr LLP</w:t>
      </w:r>
    </w:p>
    <w:p>
      <w:pPr>
        <w:spacing w:after="0" w:line="1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668655</wp:posOffset>
            </wp:positionV>
            <wp:extent cx="528764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9" w:name="page200"/>
    <w:bookmarkEnd w:id="199"/>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7" w:lineRule="exact"/>
        <w:rPr>
          <w:sz w:val="20"/>
          <w:szCs w:val="20"/>
          <w:color w:val="auto"/>
        </w:rPr>
      </w:pPr>
    </w:p>
    <w:p>
      <w:pPr>
        <w:jc w:val="both"/>
        <w:ind w:left="1340" w:right="1599"/>
        <w:spacing w:after="0" w:line="313" w:lineRule="auto"/>
        <w:rPr>
          <w:sz w:val="20"/>
          <w:szCs w:val="20"/>
          <w:color w:val="auto"/>
        </w:rPr>
      </w:pPr>
      <w:r>
        <w:rPr>
          <w:rFonts w:ascii="Times New Roman" w:cs="Times New Roman" w:eastAsia="Times New Roman" w:hAnsi="Times New Roman"/>
          <w:sz w:val="12"/>
          <w:szCs w:val="12"/>
          <w:color w:val="auto"/>
        </w:rPr>
        <w:t>We consent to the reference to our firm under the caption "Experts" and to the use of our report dated March 23, 2026, in Amendment No. 1to the Registration Statement (Form S-3 333-295785) and related Prospectus of Xilio Therapeutics, Inc. for the registration of common stock, preferred stock, debt securities, units and warrants.</w:t>
      </w:r>
    </w:p>
    <w:p>
      <w:pPr>
        <w:spacing w:after="0" w:line="2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 Ernst and Young LLP</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1101090</wp:posOffset>
            </wp:positionV>
            <wp:extent cx="528764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200" w:name="page201"/>
    <w:bookmarkEnd w:id="200"/>
    <w:p>
      <w:pPr>
        <w:spacing w:after="0" w:line="24" w:lineRule="exact"/>
        <w:rPr>
          <w:sz w:val="20"/>
          <w:szCs w:val="20"/>
          <w:color w:val="auto"/>
        </w:rPr>
      </w:pPr>
    </w:p>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Xilio Therapeutics,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400" w:type="dxa"/>
            <w:vAlign w:val="bottom"/>
            <w:tcBorders>
              <w:bottom w:val="single" w:sz="8" w:color="auto"/>
            </w:tcBorders>
            <w:gridSpan w:val="12"/>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19"/>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8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7"/>
                <w:szCs w:val="7"/>
                <w:color w:val="auto"/>
              </w:rPr>
            </w:pPr>
          </w:p>
        </w:tc>
        <w:tc>
          <w:tcPr>
            <w:tcW w:w="940" w:type="dxa"/>
            <w:vAlign w:val="bottom"/>
            <w:tcBorders>
              <w:right w:val="single" w:sz="8" w:color="auto"/>
            </w:tcBorders>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ind w:left="120"/>
              <w:spacing w:after="0" w:line="16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right"/>
              <w:ind w:right="39"/>
              <w:spacing w:after="0" w:line="163"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5"/>
                <w:szCs w:val="15"/>
                <w:color w:val="auto"/>
              </w:rPr>
            </w:pPr>
          </w:p>
        </w:tc>
        <w:tc>
          <w:tcPr>
            <w:tcW w:w="860" w:type="dxa"/>
            <w:vAlign w:val="bottom"/>
            <w:shd w:val="clear" w:color="auto" w:fill="9ADAF6"/>
          </w:tcPr>
          <w:p>
            <w:pPr>
              <w:jc w:val="right"/>
              <w:spacing w:after="0" w:line="182" w:lineRule="exact"/>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74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$ 4,596,248.00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$ 634.74</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$ 33,147.86</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240,027,982.00</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285703</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$ 5,375,770.00</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6"/>
                <w:szCs w:val="16"/>
                <w:color w:val="auto"/>
              </w:rPr>
              <w:t>$ 823.03</w:t>
            </w: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285703</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$ 33,782.60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$ 33,147.86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$ 634.74</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ectPr>
          <w:pgSz w:w="11900" w:h="16863" w:orient="portrait"/>
          <w:cols w:equalWidth="0" w:num="1">
            <w:col w:w="11360"/>
          </w:cols>
          <w:pgMar w:left="300" w:top="140" w:right="239" w:bottom="0" w:gutter="0" w:footer="0" w:header="0"/>
        </w:sectPr>
      </w:pPr>
    </w:p>
    <w:p>
      <w:pPr>
        <w:spacing w:after="0" w:line="120" w:lineRule="exact"/>
        <w:rPr>
          <w:sz w:val="20"/>
          <w:szCs w:val="20"/>
          <w:color w:val="auto"/>
        </w:rPr>
      </w:pPr>
    </w:p>
    <w:p>
      <w:pPr>
        <w:ind w:left="40"/>
        <w:spacing w:after="0"/>
        <w:rPr>
          <w:sz w:val="20"/>
          <w:szCs w:val="20"/>
          <w:color w:val="auto"/>
        </w:rPr>
      </w:pPr>
      <w:r>
        <w:rPr>
          <w:rFonts w:ascii="Arial" w:cs="Arial" w:eastAsia="Arial" w:hAnsi="Arial"/>
          <w:sz w:val="7"/>
          <w:szCs w:val="7"/>
          <w:color w:val="auto"/>
        </w:rPr>
        <w:t>1</w:t>
      </w:r>
    </w:p>
    <w:p>
      <w:pPr>
        <w:sectPr>
          <w:pgSz w:w="11900" w:h="16863" w:orient="portrait"/>
          <w:cols w:equalWidth="0" w:num="1">
            <w:col w:w="11360"/>
          </w:cols>
          <w:pgMar w:left="300" w:top="140" w:right="239" w:bottom="0" w:gutter="0" w:footer="0" w:header="0"/>
          <w:type w:val="continuous"/>
        </w:sectPr>
      </w:pPr>
    </w:p>
    <w:bookmarkStart w:id="201" w:name="page202"/>
    <w:bookmarkEnd w:id="201"/>
    <w:p>
      <w:pPr>
        <w:ind w:left="200" w:right="80" w:firstLine="4"/>
        <w:spacing w:after="0" w:line="243" w:lineRule="auto"/>
        <w:tabs>
          <w:tab w:leader="none" w:pos="44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of up to $250,000,000.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offering price are estimated solely for the purpose of calculating the registration fee pursuant to Rule 457(o) under the Securities Act.</w:t>
      </w:r>
    </w:p>
    <w:p>
      <w:pPr>
        <w:spacing w:after="0" w:line="150" w:lineRule="exact"/>
        <w:rPr>
          <w:rFonts w:ascii="Arial" w:cs="Arial" w:eastAsia="Arial" w:hAnsi="Arial"/>
          <w:sz w:val="16"/>
          <w:szCs w:val="16"/>
          <w:color w:val="auto"/>
        </w:rPr>
      </w:pPr>
    </w:p>
    <w:p>
      <w:pPr>
        <w:jc w:val="both"/>
        <w:ind w:left="200" w:right="580" w:firstLine="4"/>
        <w:spacing w:after="0" w:line="257" w:lineRule="auto"/>
        <w:tabs>
          <w:tab w:leader="none" w:pos="44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w:t>
      </w:r>
    </w:p>
    <w:p>
      <w:pPr>
        <w:spacing w:after="0" w:line="138" w:lineRule="exact"/>
        <w:rPr>
          <w:rFonts w:ascii="Arial" w:cs="Arial" w:eastAsia="Arial" w:hAnsi="Arial"/>
          <w:sz w:val="16"/>
          <w:szCs w:val="16"/>
          <w:color w:val="auto"/>
        </w:rPr>
      </w:pPr>
    </w:p>
    <w:p>
      <w:pPr>
        <w:ind w:left="200" w:right="80" w:firstLine="4"/>
        <w:spacing w:after="0" w:line="241" w:lineRule="auto"/>
        <w:tabs>
          <w:tab w:leader="none" w:pos="44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pursuant to this registration statement include $5,375,770 of unsold securities (the "Unsold Securities") previously registered pursuant to the Registration Statement on Form S-3 (File No. 333-285703), which was declared effective on May 8, 2025 (the "Prior Registration Statement"). In connection with the filing of the Prior Registration Statement, the registrant paid a filing fee of $823.03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$244,624,230 (the "New Securities"), which aggregate offering price is not specified as to each class of securities. The filing fee for the New Securities is $33,782.61. The registrant paid $33,147.86 in connection with the initial filing of this registration statement on May 12, 2026, and is paying the $634.75 balance of this filing fee in connection with the filing of this Amendment No. 1 to the registration statement. The registrant does not intend to sell any Unsold Securities pursuant to the Prior Registration Statement after the date hereof.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327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7" w:lineRule="exact"/>
        <w:rPr>
          <w:sz w:val="20"/>
          <w:szCs w:val="20"/>
          <w:color w:val="auto"/>
        </w:rPr>
      </w:pPr>
    </w:p>
    <w:p>
      <w:pPr>
        <w:ind w:left="200" w:right="80" w:firstLine="4"/>
        <w:spacing w:after="0" w:line="243" w:lineRule="auto"/>
        <w:tabs>
          <w:tab w:leader="none" w:pos="44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of up to $250,000,000.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offering price are estimated solely for the purpose of calculating the registration fee pursuant to Rule 457(o) under the Securities Act.</w:t>
      </w:r>
    </w:p>
    <w:p>
      <w:pPr>
        <w:spacing w:after="0" w:line="150" w:lineRule="exact"/>
        <w:rPr>
          <w:rFonts w:ascii="Arial" w:cs="Arial" w:eastAsia="Arial" w:hAnsi="Arial"/>
          <w:sz w:val="16"/>
          <w:szCs w:val="16"/>
          <w:color w:val="auto"/>
        </w:rPr>
      </w:pPr>
    </w:p>
    <w:p>
      <w:pPr>
        <w:jc w:val="both"/>
        <w:ind w:left="200" w:right="580" w:firstLine="4"/>
        <w:spacing w:after="0" w:line="257" w:lineRule="auto"/>
        <w:tabs>
          <w:tab w:leader="none" w:pos="44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w:t>
      </w:r>
    </w:p>
    <w:p>
      <w:pPr>
        <w:spacing w:after="0" w:line="138" w:lineRule="exact"/>
        <w:rPr>
          <w:rFonts w:ascii="Arial" w:cs="Arial" w:eastAsia="Arial" w:hAnsi="Arial"/>
          <w:sz w:val="16"/>
          <w:szCs w:val="16"/>
          <w:color w:val="auto"/>
        </w:rPr>
      </w:pPr>
    </w:p>
    <w:p>
      <w:pPr>
        <w:ind w:left="200" w:right="80" w:firstLine="4"/>
        <w:spacing w:after="0" w:line="241" w:lineRule="auto"/>
        <w:tabs>
          <w:tab w:leader="none" w:pos="44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pursuant to this registration statement include $5,375,770 of unsold securities (the "Unsold Securities") previously registered pursuant to the Registration Statement on Form S-3 (File No. 333-285703), which was declared effective on May 8, 2025 (the "Prior Registration Statement"). In connection with the filing of the Prior Registration Statement, the registrant paid a filing fee of $823.03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$244,624,230 (the "New Securities"), which aggregate offering price is not specified as to each class of securities. The filing fee for the New Securities is $33,782.61. The registrant paid $33,147.86 in connection with the initial filing of this registration statement on May 12, 2026, and is paying the $634.75 balance of this filing fee in connection with the filing of this Amendment No. 1 to the registration statement. The registrant does not intend to sell any Unsold Securities pursuant to the Prior Registration Statement after the date hereof.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327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2"/>
            <w:vMerge w:val="restart"/>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right w:val="single" w:sz="8" w:color="9ADAF6"/>
            </w:tcBorders>
            <w:gridSpan w:val="2"/>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5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1360" w:type="dxa"/>
            <w:vAlign w:val="bottom"/>
            <w:shd w:val="clear" w:color="auto" w:fill="9ADAF6"/>
          </w:tcPr>
          <w:p>
            <w:pPr>
              <w:jc w:val="center"/>
              <w:ind w:right="159"/>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20"/>
                <w:szCs w:val="20"/>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20"/>
                <w:szCs w:val="20"/>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20"/>
                <w:szCs w:val="20"/>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20"/>
                <w:szCs w:val="20"/>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20"/>
                <w:szCs w:val="20"/>
                <w:color w:val="auto"/>
              </w:rPr>
            </w:pPr>
          </w:p>
        </w:tc>
        <w:tc>
          <w:tcPr>
            <w:tcW w:w="88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20"/>
                <w:szCs w:val="20"/>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20"/>
                <w:szCs w:val="20"/>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20"/>
                <w:szCs w:val="20"/>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tcBorders>
              <w:right w:val="single" w:sz="8" w:color="9ADAF6"/>
            </w:tcBorders>
            <w:gridSpan w:val="2"/>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1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2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jc w:val="center"/>
              <w:ind w:right="302"/>
              <w:spacing w:after="0" w:line="182" w:lineRule="exact"/>
              <w:rPr>
                <w:sz w:val="20"/>
                <w:szCs w:val="20"/>
                <w:color w:val="auto"/>
              </w:rPr>
            </w:pPr>
            <w:r>
              <w:rPr>
                <w:rFonts w:ascii="Arial" w:cs="Arial" w:eastAsia="Arial" w:hAnsi="Arial"/>
                <w:sz w:val="16"/>
                <w:szCs w:val="16"/>
                <w:b w:val="1"/>
                <w:bCs w:val="1"/>
                <w:color w:val="auto"/>
              </w:rPr>
              <w:t>Offering Price of</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60"/>
              <w:spacing w:after="0" w:line="182"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ind w:left="2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restart"/>
            <w:shd w:val="clear" w:color="auto" w:fill="9ADAF6"/>
          </w:tcPr>
          <w:p>
            <w:pPr>
              <w:jc w:val="center"/>
              <w:ind w:right="121"/>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302"/>
              <w:spacing w:after="0"/>
              <w:rPr>
                <w:sz w:val="20"/>
                <w:szCs w:val="20"/>
                <w:color w:val="auto"/>
              </w:rPr>
            </w:pPr>
            <w:r>
              <w:rPr>
                <w:rFonts w:ascii="Arial" w:cs="Arial" w:eastAsia="Arial" w:hAnsi="Arial"/>
                <w:sz w:val="16"/>
                <w:szCs w:val="16"/>
                <w:b w:val="1"/>
                <w:bCs w:val="1"/>
                <w:color w:val="auto"/>
              </w:rPr>
              <w:t>Registered</w:t>
            </w:r>
          </w:p>
        </w:tc>
        <w:tc>
          <w:tcPr>
            <w:tcW w:w="1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301" w:right="299" w:bottom="76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1)"/>
      <w:numFmt w:val="upperLetter"/>
      <w:start w:val="15"/>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1)"/>
      <w:numFmt w:val="decimal"/>
      <w:start w:val="1"/>
    </w:lvl>
  </w:abstractNum>
  <w:abstractNum w:abstractNumId="43">
    <w:nsid w:val="7055A5F5"/>
    <w:multiLevelType w:val="hybridMultilevel"/>
    <w:lvl w:ilvl="0">
      <w:lvlJc w:val="left"/>
      <w:lvlText w:val="%1"/>
      <w:numFmt w:val="decimal"/>
      <w:start w:val="107"/>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1)"/>
      <w:numFmt w:val="lowerRoman"/>
      <w:start w:val="1"/>
    </w:lvl>
  </w:abstractNum>
  <w:abstractNum w:abstractNumId="47">
    <w:nsid w:val="5FB8011C"/>
    <w:multiLevelType w:val="hybridMultilevel"/>
    <w:lvl w:ilvl="0">
      <w:lvlJc w:val="left"/>
      <w:lvlText w:val="(%1)"/>
      <w:numFmt w:val="decimal"/>
      <w:start w:val="2"/>
    </w:lvl>
    <w:lvl w:ilvl="1">
      <w:lvlJc w:val="left"/>
      <w:lvlText w:val="(%2)"/>
      <w:numFmt w:val="lowerRoman"/>
      <w:start w:val="1"/>
    </w:lvl>
  </w:abstractNum>
  <w:abstractNum w:abstractNumId="48">
    <w:nsid w:val="6AA78F7F"/>
    <w:multiLevelType w:val="hybridMultilevel"/>
    <w:lvl w:ilvl="0">
      <w:lvlJc w:val="left"/>
      <w:lvlText w:val="%1"/>
      <w:numFmt w:val="decimal"/>
      <w:start w:val="1"/>
    </w:lvl>
    <w:lvl w:ilvl="1">
      <w:lvlJc w:val="left"/>
      <w:lvlText w:val="(%2)"/>
      <w:numFmt w:val="lowerRoman"/>
      <w:start w:val="2"/>
    </w:lvl>
  </w:abstractNum>
  <w:abstractNum w:abstractNumId="49">
    <w:nsid w:val="7672BD23"/>
    <w:multiLevelType w:val="hybridMultilevel"/>
    <w:lvl w:ilvl="0">
      <w:lvlJc w:val="left"/>
      <w:lvlText w:val="(%1)"/>
      <w:numFmt w:val="decimal"/>
      <w:start w:val="6"/>
    </w:lvl>
    <w:lvl w:ilvl="1">
      <w:lvlJc w:val="left"/>
      <w:lvlText w:val="(%2)"/>
      <w:numFmt w:val="lowerRoman"/>
      <w:start w:val="1"/>
    </w:lvl>
  </w:abstractNum>
  <w:abstractNum w:abstractNumId="50">
    <w:nsid w:val="6FC75AF8"/>
    <w:multiLevelType w:val="hybridMultilevel"/>
    <w:lvl w:ilvl="0">
      <w:lvlJc w:val="left"/>
      <w:lvlText w:val="(%1)"/>
      <w:numFmt w:val="lowerLetter"/>
      <w:start w:val="2"/>
    </w:lvl>
  </w:abstractNum>
  <w:abstractNum w:abstractNumId="51">
    <w:nsid w:val="6A5F7029"/>
    <w:multiLevelType w:val="hybridMultilevel"/>
    <w:lvl w:ilvl="0">
      <w:lvlJc w:val="left"/>
      <w:lvlText w:val="1"/>
      <w:numFmt w:val="bullet"/>
      <w:start w:val="1"/>
    </w:lvl>
  </w:abstractNum>
  <w:abstractNum w:abstractNumId="52">
    <w:nsid w:val="7D5E18F8"/>
    <w:multiLevelType w:val="hybridMultilevel"/>
    <w:lvl w:ilvl="0">
      <w:lvlJc w:val="left"/>
      <w:lvlText w:val="(%1)"/>
      <w:numFmt w:val="lowerLetter"/>
      <w:start w:val="4"/>
    </w:lvl>
  </w:abstractNum>
  <w:abstractNum w:abstractNumId="53">
    <w:nsid w:val="5F3534A4"/>
    <w:multiLevelType w:val="hybridMultilevel"/>
    <w:lvl w:ilvl="0">
      <w:lvlJc w:val="left"/>
      <w:lvlText w:val="(%1)"/>
      <w:numFmt w:val="lowerLetter"/>
      <w:start w:val="2"/>
    </w:lvl>
    <w:lvl w:ilvl="1">
      <w:lvlJc w:val="left"/>
      <w:lvlText w:val="-"/>
      <w:numFmt w:val="bullet"/>
      <w:start w:val="1"/>
    </w:lvl>
  </w:abstractNum>
  <w:abstractNum w:abstractNumId="54">
    <w:nsid w:val="73A1821B"/>
    <w:multiLevelType w:val="hybridMultilevel"/>
    <w:lvl w:ilvl="0">
      <w:lvlJc w:val="left"/>
      <w:lvlText w:val="(%1)"/>
      <w:numFmt w:val="lowerLetter"/>
      <w:start w:val="3"/>
    </w:lvl>
  </w:abstractNum>
  <w:abstractNum w:abstractNumId="55">
    <w:nsid w:val="7DE67713"/>
    <w:multiLevelType w:val="hybridMultilevel"/>
    <w:lvl w:ilvl="0">
      <w:lvlJc w:val="left"/>
      <w:lvlText w:val="(%1)"/>
      <w:numFmt w:val="lowerLetter"/>
      <w:start w:val="1"/>
    </w:lvl>
    <w:lvl w:ilvl="1">
      <w:lvlJc w:val="left"/>
      <w:lvlText w:val="-"/>
      <w:numFmt w:val="bullet"/>
      <w:start w:val="1"/>
    </w:lvl>
  </w:abstractNum>
  <w:abstractNum w:abstractNumId="56">
    <w:nsid w:val="555C55B5"/>
    <w:multiLevelType w:val="hybridMultilevel"/>
    <w:lvl w:ilvl="0">
      <w:lvlJc w:val="left"/>
      <w:lvlText w:val="(%1)"/>
      <w:numFmt w:val="lowerLetter"/>
      <w:start w:val="2"/>
    </w:lvl>
    <w:lvl w:ilvl="1">
      <w:lvlJc w:val="left"/>
      <w:lvlText w:val="-"/>
      <w:numFmt w:val="bullet"/>
      <w:start w:val="1"/>
    </w:lvl>
  </w:abstractNum>
  <w:abstractNum w:abstractNumId="57">
    <w:nsid w:val="3FA62ACA"/>
    <w:multiLevelType w:val="hybridMultilevel"/>
    <w:lvl w:ilvl="0">
      <w:lvlJc w:val="left"/>
      <w:lvlText w:val="(%1)"/>
      <w:numFmt w:val="lowerLetter"/>
      <w:start w:val="13"/>
    </w:lvl>
  </w:abstractNum>
  <w:abstractNum w:abstractNumId="58">
    <w:nsid w:val="14FCE74E"/>
    <w:multiLevelType w:val="hybridMultilevel"/>
    <w:lvl w:ilvl="0">
      <w:lvlJc w:val="left"/>
      <w:lvlText w:val="(%1)"/>
      <w:numFmt w:val="lowerLetter"/>
      <w:start w:val="1"/>
    </w:lvl>
    <w:lvl w:ilvl="1">
      <w:lvlJc w:val="left"/>
      <w:lvlText w:val="(%2)"/>
      <w:numFmt w:val="lowerRoman"/>
      <w:start w:val="1"/>
    </w:lvl>
  </w:abstractNum>
  <w:abstractNum w:abstractNumId="59">
    <w:nsid w:val="6A3DD3E8"/>
    <w:multiLevelType w:val="hybridMultilevel"/>
    <w:lvl w:ilvl="0">
      <w:lvlJc w:val="left"/>
      <w:lvlText w:val="(%1)"/>
      <w:numFmt w:val="lowerRoman"/>
      <w:start w:val="1"/>
    </w:lvl>
    <w:lvl w:ilvl="1">
      <w:lvlJc w:val="left"/>
      <w:lvlText w:val="-"/>
      <w:numFmt w:val="bullet"/>
      <w:start w:val="1"/>
    </w:lvl>
  </w:abstractNum>
  <w:abstractNum w:abstractNumId="60">
    <w:nsid w:val="71C91298"/>
    <w:multiLevelType w:val="hybridMultilevel"/>
    <w:lvl w:ilvl="0">
      <w:lvlJc w:val="left"/>
      <w:lvlText w:val="(%1)"/>
      <w:numFmt w:val="lowerRoman"/>
      <w:start w:val="1"/>
    </w:lvl>
  </w:abstractNum>
  <w:abstractNum w:abstractNumId="61">
    <w:nsid w:val="9DAF632"/>
    <w:multiLevelType w:val="hybridMultilevel"/>
    <w:lvl w:ilvl="0">
      <w:lvlJc w:val="left"/>
      <w:lvlText w:val="(%1)"/>
      <w:numFmt w:val="lowerLetter"/>
      <w:start w:val="1"/>
    </w:lvl>
  </w:abstractNum>
  <w:abstractNum w:abstractNumId="62">
    <w:nsid w:val="53299938"/>
    <w:multiLevelType w:val="hybridMultilevel"/>
    <w:lvl w:ilvl="0">
      <w:lvlJc w:val="left"/>
      <w:lvlText w:val="(%1)"/>
      <w:numFmt w:val="lowerLetter"/>
      <w:start w:val="1"/>
    </w:lvl>
  </w:abstractNum>
  <w:abstractNum w:abstractNumId="63">
    <w:nsid w:val="1FBFE8E0"/>
    <w:multiLevelType w:val="hybridMultilevel"/>
    <w:lvl w:ilvl="0">
      <w:lvlJc w:val="left"/>
      <w:lvlText w:val="(%1)"/>
      <w:numFmt w:val="lowerLetter"/>
      <w:start w:val="2"/>
    </w:lvl>
  </w:abstractNum>
  <w:abstractNum w:abstractNumId="64">
    <w:nsid w:val="5092CA79"/>
    <w:multiLevelType w:val="hybridMultilevel"/>
    <w:lvl w:ilvl="0">
      <w:lvlJc w:val="left"/>
      <w:lvlText w:val="(%1)"/>
      <w:numFmt w:val="lowerLetter"/>
      <w:start w:val="1"/>
    </w:lvl>
    <w:lvl w:ilvl="1">
      <w:lvlJc w:val="left"/>
      <w:lvlText w:val="-"/>
      <w:numFmt w:val="bullet"/>
      <w:start w:val="1"/>
    </w:lvl>
  </w:abstractNum>
  <w:abstractNum w:abstractNumId="65">
    <w:nsid w:val="1D545C4D"/>
    <w:multiLevelType w:val="hybridMultilevel"/>
    <w:lvl w:ilvl="0">
      <w:lvlJc w:val="left"/>
      <w:lvlText w:val="(%1)"/>
      <w:numFmt w:val="lowerLetter"/>
      <w:start w:val="5"/>
    </w:lvl>
  </w:abstractNum>
  <w:abstractNum w:abstractNumId="66">
    <w:nsid w:val="59ADEA3D"/>
    <w:multiLevelType w:val="hybridMultilevel"/>
    <w:lvl w:ilvl="0">
      <w:lvlJc w:val="left"/>
      <w:lvlText w:val="(%1)"/>
      <w:numFmt w:val="lowerRoman"/>
      <w:start w:val="1"/>
    </w:lvl>
  </w:abstractNum>
  <w:abstractNum w:abstractNumId="67">
    <w:nsid w:val="288F1A34"/>
    <w:multiLevelType w:val="hybridMultilevel"/>
    <w:lvl w:ilvl="0">
      <w:lvlJc w:val="left"/>
      <w:lvlText w:val="(%1)"/>
      <w:numFmt w:val="lowerLetter"/>
      <w:start w:val="1"/>
    </w:lvl>
    <w:lvl w:ilvl="1">
      <w:lvlJc w:val="left"/>
      <w:lvlText w:val="-"/>
      <w:numFmt w:val="bullet"/>
      <w:start w:val="1"/>
    </w:lvl>
  </w:abstractNum>
  <w:abstractNum w:abstractNumId="68">
    <w:nsid w:val="2A155DBC"/>
    <w:multiLevelType w:val="hybridMultilevel"/>
    <w:lvl w:ilvl="0">
      <w:lvlJc w:val="left"/>
      <w:lvlText w:val="(%1)"/>
      <w:numFmt w:val="lowerLetter"/>
      <w:start w:val="7"/>
    </w:lvl>
  </w:abstractNum>
  <w:abstractNum w:abstractNumId="69">
    <w:nsid w:val="1D9F6E5F"/>
    <w:multiLevelType w:val="hybridMultilevel"/>
    <w:lvl w:ilvl="0">
      <w:lvlJc w:val="left"/>
      <w:lvlText w:val="(%1)"/>
      <w:numFmt w:val="lowerLetter"/>
      <w:start w:val="2"/>
    </w:lvl>
    <w:lvl w:ilvl="1">
      <w:lvlJc w:val="left"/>
      <w:lvlText w:val="(%2)"/>
      <w:numFmt w:val="lowerRoman"/>
      <w:start w:val="1"/>
    </w:lvl>
  </w:abstractNum>
  <w:abstractNum w:abstractNumId="70">
    <w:nsid w:val="97E1B4E"/>
    <w:multiLevelType w:val="hybridMultilevel"/>
    <w:lvl w:ilvl="0">
      <w:lvlJc w:val="left"/>
      <w:lvlText w:val="(%1)"/>
      <w:numFmt w:val="lowerLetter"/>
      <w:start w:val="3"/>
    </w:lvl>
  </w:abstractNum>
  <w:abstractNum w:abstractNumId="71">
    <w:nsid w:val="51088277"/>
    <w:multiLevelType w:val="hybridMultilevel"/>
    <w:lvl w:ilvl="0">
      <w:lvlJc w:val="left"/>
      <w:lvlText w:val="(%1)"/>
      <w:numFmt w:val="lowerLetter"/>
      <w:start w:val="1"/>
    </w:lvl>
    <w:lvl w:ilvl="1">
      <w:lvlJc w:val="left"/>
      <w:lvlText w:val="-"/>
      <w:numFmt w:val="bullet"/>
      <w:start w:val="1"/>
    </w:lvl>
  </w:abstractNum>
  <w:abstractNum w:abstractNumId="72">
    <w:nsid w:val="1CA0C5FA"/>
    <w:multiLevelType w:val="hybridMultilevel"/>
    <w:lvl w:ilvl="0">
      <w:lvlJc w:val="left"/>
      <w:lvlText w:val="(%1)"/>
      <w:numFmt w:val="lowerLetter"/>
      <w:start w:val="5"/>
    </w:lvl>
  </w:abstractNum>
  <w:abstractNum w:abstractNumId="73">
    <w:nsid w:val="53584BCB"/>
    <w:multiLevelType w:val="hybridMultilevel"/>
    <w:lvl w:ilvl="0">
      <w:lvlJc w:val="left"/>
      <w:lvlText w:val="(%1)"/>
      <w:numFmt w:val="lowerRoman"/>
      <w:start w:val="1"/>
    </w:lvl>
    <w:lvl w:ilvl="1">
      <w:lvlJc w:val="left"/>
      <w:lvlText w:val="-"/>
      <w:numFmt w:val="bullet"/>
      <w:start w:val="1"/>
    </w:lvl>
  </w:abstractNum>
  <w:abstractNum w:abstractNumId="74">
    <w:nsid w:val="415E286C"/>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5">
    <w:nsid w:val="7C58FD05"/>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76">
    <w:nsid w:val="23D86AAC"/>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77">
    <w:nsid w:val="45E6D486"/>
    <w:multiLevelType w:val="hybridMultilevel"/>
    <w:lvl w:ilvl="0">
      <w:lvlJc w:val="left"/>
      <w:lvlText w:val="(%1)"/>
      <w:numFmt w:val="lowerLetter"/>
      <w:start w:val="4"/>
    </w:lvl>
    <w:lvl w:ilvl="1">
      <w:lvlJc w:val="left"/>
      <w:lvlText w:val="(%2)"/>
      <w:numFmt w:val="lowerRoman"/>
      <w:start w:val="1"/>
    </w:lvl>
  </w:abstractNum>
  <w:abstractNum w:abstractNumId="78">
    <w:nsid w:val="5C10FE21"/>
    <w:multiLevelType w:val="hybridMultilevel"/>
    <w:lvl w:ilvl="0">
      <w:lvlJc w:val="left"/>
      <w:lvlText w:val="(%1)"/>
      <w:numFmt w:val="lowerRoman"/>
      <w:start w:val="4"/>
    </w:lvl>
    <w:lvl w:ilvl="1">
      <w:lvlJc w:val="left"/>
      <w:lvlText w:val="-"/>
      <w:numFmt w:val="bullet"/>
      <w:start w:val="1"/>
    </w:lvl>
  </w:abstractNum>
  <w:abstractNum w:abstractNumId="79">
    <w:nsid w:val="E7FFA2B"/>
    <w:multiLevelType w:val="hybridMultilevel"/>
    <w:lvl w:ilvl="0">
      <w:lvlJc w:val="left"/>
      <w:lvlText w:val="(%1)"/>
      <w:numFmt w:val="lowerRoman"/>
      <w:start w:val="5"/>
    </w:lvl>
  </w:abstractNum>
  <w:abstractNum w:abstractNumId="80">
    <w:nsid w:val="3C5991AA"/>
    <w:multiLevelType w:val="hybridMultilevel"/>
    <w:lvl w:ilvl="0">
      <w:lvlJc w:val="left"/>
      <w:lvlText w:val="1"/>
      <w:numFmt w:val="bullet"/>
      <w:start w:val="1"/>
    </w:lvl>
  </w:abstractNum>
  <w:abstractNum w:abstractNumId="81">
    <w:nsid w:val="4BD8591A"/>
    <w:multiLevelType w:val="hybridMultilevel"/>
    <w:lvl w:ilvl="0">
      <w:lvlJc w:val="left"/>
      <w:lvlText w:val="(%1)"/>
      <w:numFmt w:val="lowerLetter"/>
      <w:start w:val="4"/>
    </w:lvl>
  </w:abstractNum>
  <w:abstractNum w:abstractNumId="82">
    <w:nsid w:val="78DF6A55"/>
    <w:multiLevelType w:val="hybridMultilevel"/>
    <w:lvl w:ilvl="0">
      <w:lvlJc w:val="left"/>
      <w:lvlText w:val="(%1)"/>
      <w:numFmt w:val="lowerLetter"/>
      <w:start w:val="2"/>
    </w:lvl>
  </w:abstractNum>
  <w:abstractNum w:abstractNumId="83">
    <w:nsid w:val="39B7AAA2"/>
    <w:multiLevelType w:val="hybridMultilevel"/>
    <w:lvl w:ilvl="0">
      <w:lvlJc w:val="left"/>
      <w:lvlText w:val="(%1)"/>
      <w:numFmt w:val="lowerLetter"/>
      <w:start w:val="3"/>
    </w:lvl>
  </w:abstractNum>
  <w:abstractNum w:abstractNumId="84">
    <w:nsid w:val="2B0D8DBE"/>
    <w:multiLevelType w:val="hybridMultilevel"/>
    <w:lvl w:ilvl="0">
      <w:lvlJc w:val="left"/>
      <w:lvlText w:val="(%1)"/>
      <w:numFmt w:val="lowerLetter"/>
      <w:start w:val="1"/>
    </w:lvl>
  </w:abstractNum>
  <w:abstractNum w:abstractNumId="85">
    <w:nsid w:val="6C80EC70"/>
    <w:multiLevelType w:val="hybridMultilevel"/>
    <w:lvl w:ilvl="0">
      <w:lvlJc w:val="left"/>
      <w:lvlText w:val="(%1)"/>
      <w:numFmt w:val="lowerLetter"/>
      <w:start w:val="1"/>
    </w:lvl>
  </w:abstractNum>
  <w:abstractNum w:abstractNumId="86">
    <w:nsid w:val="379E21B5"/>
    <w:multiLevelType w:val="hybridMultilevel"/>
    <w:lvl w:ilvl="0">
      <w:lvlJc w:val="left"/>
      <w:lvlText w:val="(%1)"/>
      <w:numFmt w:val="lowerLetter"/>
      <w:start w:val="7"/>
    </w:lvl>
  </w:abstractNum>
  <w:abstractNum w:abstractNumId="87">
    <w:nsid w:val="69E373"/>
    <w:multiLevelType w:val="hybridMultilevel"/>
    <w:lvl w:ilvl="0">
      <w:lvlJc w:val="left"/>
      <w:lvlText w:val="(%1)"/>
      <w:numFmt w:val="lowerLetter"/>
      <w:start w:val="18"/>
    </w:lvl>
  </w:abstractNum>
  <w:abstractNum w:abstractNumId="88">
    <w:nsid w:val="2C27173B"/>
    <w:multiLevelType w:val="hybridMultilevel"/>
    <w:lvl w:ilvl="0">
      <w:lvlJc w:val="left"/>
      <w:lvlText w:val="(%1)"/>
      <w:numFmt w:val="lowerLetter"/>
      <w:start w:val="1"/>
    </w:lvl>
  </w:abstractNum>
  <w:abstractNum w:abstractNumId="89">
    <w:nsid w:val="4C9B0904"/>
    <w:multiLevelType w:val="hybridMultilevel"/>
    <w:lvl w:ilvl="0">
      <w:lvlJc w:val="left"/>
      <w:lvlText w:val="(%1)"/>
      <w:numFmt w:val="lowerLetter"/>
      <w:start w:val="4"/>
    </w:lvl>
    <w:lvl w:ilvl="1">
      <w:lvlJc w:val="left"/>
      <w:lvlText w:val="(%2)"/>
      <w:numFmt w:val="lowerRoman"/>
      <w:start w:val="1"/>
    </w:lvl>
  </w:abstractNum>
  <w:abstractNum w:abstractNumId="90">
    <w:nsid w:val="6AA7B75C"/>
    <w:multiLevelType w:val="hybridMultilevel"/>
    <w:lvl w:ilvl="0">
      <w:lvlJc w:val="left"/>
      <w:lvlText w:val="(%1)"/>
      <w:numFmt w:val="lowerRoman"/>
      <w:start w:val="1"/>
    </w:lvl>
  </w:abstractNum>
  <w:abstractNum w:abstractNumId="91">
    <w:nsid w:val="1DF029D3"/>
    <w:multiLevelType w:val="hybridMultilevel"/>
    <w:lvl w:ilvl="0">
      <w:lvlJc w:val="left"/>
      <w:lvlText w:val="(%1)"/>
      <w:numFmt w:val="lowerRoman"/>
      <w:start w:val="1"/>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Letter"/>
      <w:start w:val="2"/>
    </w:lvl>
  </w:abstractNum>
  <w:abstractNum w:abstractNumId="94">
    <w:nsid w:val="3DB012B3"/>
    <w:multiLevelType w:val="hybridMultilevel"/>
    <w:lvl w:ilvl="0">
      <w:lvlJc w:val="left"/>
      <w:lvlText w:val="(%1)"/>
      <w:numFmt w:val="lowerLetter"/>
      <w:start w:val="1"/>
    </w:lvl>
  </w:abstractNum>
  <w:abstractNum w:abstractNumId="95">
    <w:nsid w:val="2708C9AF"/>
    <w:multiLevelType w:val="hybridMultilevel"/>
    <w:lvl w:ilvl="0">
      <w:lvlJc w:val="left"/>
      <w:lvlText w:val="(%1)"/>
      <w:numFmt w:val="lowerLetter"/>
      <w:start w:val="2"/>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Roman"/>
      <w:start w:val="1"/>
    </w:lvl>
  </w:abstractNum>
  <w:abstractNum w:abstractNumId="98">
    <w:nsid w:val="4F97E3E4"/>
    <w:multiLevelType w:val="hybridMultilevel"/>
    <w:lvl w:ilvl="0">
      <w:lvlJc w:val="left"/>
      <w:lvlText w:val="(%1)"/>
      <w:numFmt w:val="lowerRoman"/>
      <w:start w:val="3"/>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1)"/>
      <w:numFmt w:val="lowerLetter"/>
      <w:start w:val="2"/>
    </w:lvl>
  </w:abstractNum>
  <w:abstractNum w:abstractNumId="101">
    <w:nsid w:val="5915FF32"/>
    <w:multiLevelType w:val="hybridMultilevel"/>
    <w:lvl w:ilvl="0">
      <w:lvlJc w:val="left"/>
      <w:lvlText w:val="(%1)"/>
      <w:numFmt w:val="lowerLetter"/>
      <w:start w:val="11"/>
    </w:lvl>
  </w:abstractNum>
  <w:abstractNum w:abstractNumId="102">
    <w:nsid w:val="56438D15"/>
    <w:multiLevelType w:val="hybridMultilevel"/>
    <w:lvl w:ilvl="0">
      <w:lvlJc w:val="left"/>
      <w:lvlText w:val="(%1)"/>
      <w:numFmt w:val="lowerLetter"/>
      <w:start w:val="2"/>
    </w:lvl>
    <w:lvl w:ilvl="1">
      <w:lvlJc w:val="left"/>
      <w:lvlText w:val="(%2)"/>
      <w:numFmt w:val="lowerRoman"/>
      <w:start w:val="1"/>
    </w:lvl>
  </w:abstractNum>
  <w:abstractNum w:abstractNumId="103">
    <w:nsid w:val="519E3149"/>
    <w:multiLevelType w:val="hybridMultilevel"/>
    <w:lvl w:ilvl="0">
      <w:lvlJc w:val="left"/>
      <w:lvlText w:val="(%1)"/>
      <w:numFmt w:val="lowerLetter"/>
      <w:start w:val="3"/>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8"/>
    </w:lvl>
  </w:abstractNum>
  <w:abstractNum w:abstractNumId="106">
    <w:nsid w:val="4DF72E4E"/>
    <w:multiLevelType w:val="hybridMultilevel"/>
    <w:lvl w:ilvl="0">
      <w:lvlJc w:val="left"/>
      <w:lvlText w:val="(%1)"/>
      <w:numFmt w:val="lowerRoman"/>
      <w:start w:val="1"/>
    </w:lvl>
    <w:lvl w:ilvl="1">
      <w:lvlJc w:val="left"/>
      <w:lvlText w:val="(%2)"/>
      <w:numFmt w:val="upperLetter"/>
      <w:start w:val="1"/>
    </w:lvl>
  </w:abstractNum>
  <w:abstractNum w:abstractNumId="107">
    <w:nsid w:val="5046B5A9"/>
    <w:multiLevelType w:val="hybridMultilevel"/>
    <w:lvl w:ilvl="0">
      <w:lvlJc w:val="left"/>
      <w:lvlText w:val="(%1)"/>
      <w:numFmt w:val="lowerLetter"/>
      <w:start w:val="2"/>
    </w:lvl>
  </w:abstractNum>
  <w:abstractNum w:abstractNumId="108">
    <w:nsid w:val="5D888A0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09">
    <w:nsid w:val="2A082C70"/>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9"/>
    </w:lvl>
  </w:abstractNum>
  <w:abstractNum w:abstractNumId="110">
    <w:nsid w:val="5EC6AFD4"/>
    <w:multiLevelType w:val="hybridMultilevel"/>
    <w:lvl w:ilvl="0">
      <w:lvlJc w:val="left"/>
      <w:lvlText w:val="(%1)"/>
      <w:numFmt w:val="lowerRoman"/>
      <w:start w:val="2"/>
    </w:lvl>
  </w:abstractNum>
  <w:abstractNum w:abstractNumId="111">
    <w:nsid w:val="19E21BB2"/>
    <w:multiLevelType w:val="hybridMultilevel"/>
    <w:lvl w:ilvl="0">
      <w:lvlJc w:val="left"/>
      <w:lvlText w:val="%1."/>
      <w:numFmt w:val="decimal"/>
      <w:start w:val="1"/>
    </w:lvl>
  </w:abstractNum>
  <w:abstractNum w:abstractNumId="112">
    <w:nsid w:val="75E0858A"/>
    <w:multiLevelType w:val="hybridMultilevel"/>
    <w:lvl w:ilvl="0">
      <w:lvlJc w:val="left"/>
      <w:lvlText w:val="%1."/>
      <w:numFmt w:val="decimal"/>
      <w:start w:val="2"/>
    </w:lvl>
  </w:abstractNum>
  <w:abstractNum w:abstractNumId="113">
    <w:nsid w:val="57A61A29"/>
    <w:multiLevelType w:val="hybridMultilevel"/>
    <w:lvl w:ilvl="0">
      <w:lvlJc w:val="left"/>
      <w:lvlText w:val="%1."/>
      <w:numFmt w:val="decimal"/>
      <w:start w:val="3"/>
    </w:lvl>
  </w:abstractNum>
  <w:abstractNum w:abstractNumId="114">
    <w:nsid w:val="5399C654"/>
    <w:multiLevelType w:val="hybridMultilevel"/>
    <w:lvl w:ilvl="0">
      <w:lvlJc w:val="left"/>
      <w:lvlText w:val="%1."/>
      <w:numFmt w:val="decimal"/>
      <w:start w:val="4"/>
    </w:lvl>
  </w:abstractNum>
  <w:abstractNum w:abstractNumId="115">
    <w:nsid w:val="20EE1348"/>
    <w:multiLevelType w:val="hybridMultilevel"/>
    <w:lvl w:ilvl="0">
      <w:lvlJc w:val="left"/>
      <w:lvlText w:val="%1."/>
      <w:numFmt w:val="decimal"/>
      <w:start w:val="5"/>
    </w:lvl>
  </w:abstractNum>
  <w:abstractNum w:abstractNumId="116">
    <w:nsid w:val="4427069A"/>
    <w:multiLevelType w:val="hybridMultilevel"/>
    <w:lvl w:ilvl="0">
      <w:lvlJc w:val="left"/>
      <w:lvlText w:val="%1."/>
      <w:numFmt w:val="decimal"/>
      <w:start w:val="6"/>
    </w:lvl>
  </w:abstractNum>
  <w:abstractNum w:abstractNumId="117">
    <w:nsid w:val="B37E80A"/>
    <w:multiLevelType w:val="hybridMultilevel"/>
    <w:lvl w:ilvl="0">
      <w:lvlJc w:val="left"/>
      <w:lvlText w:val="%1."/>
      <w:numFmt w:val="decimal"/>
      <w:start w:val="8"/>
    </w:lvl>
  </w:abstractNum>
  <w:abstractNum w:abstractNumId="118">
    <w:nsid w:val="2157F6BC"/>
    <w:multiLevelType w:val="hybridMultilevel"/>
    <w:lvl w:ilvl="0">
      <w:lvlJc w:val="left"/>
      <w:lvlText w:val="%1."/>
      <w:numFmt w:val="decimal"/>
      <w:start w:val="9"/>
    </w:lvl>
  </w:abstractNum>
  <w:abstractNum w:abstractNumId="119">
    <w:nsid w:val="704E1DD5"/>
    <w:multiLevelType w:val="hybridMultilevel"/>
    <w:lvl w:ilvl="0">
      <w:lvlJc w:val="left"/>
      <w:lvlText w:val="%1."/>
      <w:numFmt w:val="decimal"/>
      <w:start w:val="10"/>
    </w:lvl>
  </w:abstractNum>
  <w:abstractNum w:abstractNumId="120">
    <w:nsid w:val="57D2F10E"/>
    <w:multiLevelType w:val="hybridMultilevel"/>
    <w:lvl w:ilvl="0">
      <w:lvlJc w:val="left"/>
      <w:lvlText w:val="%1."/>
      <w:numFmt w:val="decimal"/>
      <w:start w:val="12"/>
    </w:lvl>
  </w:abstractNum>
  <w:abstractNum w:abstractNumId="121">
    <w:nsid w:val="BFFAE18"/>
    <w:multiLevelType w:val="hybridMultilevel"/>
    <w:lvl w:ilvl="0">
      <w:lvlJc w:val="left"/>
      <w:lvlText w:val="%1."/>
      <w:numFmt w:val="decimal"/>
      <w:start w:val="13"/>
    </w:lvl>
  </w:abstractNum>
  <w:abstractNum w:abstractNumId="122">
    <w:nsid w:val="E3E47A8"/>
    <w:multiLevelType w:val="hybridMultilevel"/>
    <w:lvl w:ilvl="0">
      <w:lvlJc w:val="left"/>
      <w:lvlText w:val="%1."/>
      <w:numFmt w:val="decimal"/>
      <w:start w:val="15"/>
    </w:lvl>
  </w:abstractNum>
  <w:abstractNum w:abstractNumId="123">
    <w:nsid w:val="2E48F044"/>
    <w:multiLevelType w:val="hybridMultilevel"/>
    <w:lvl w:ilvl="0">
      <w:lvlJc w:val="left"/>
      <w:lvlText w:val="%1."/>
      <w:numFmt w:val="decimal"/>
      <w:start w:val="16"/>
    </w:lvl>
  </w:abstractNum>
  <w:abstractNum w:abstractNumId="124">
    <w:nsid w:val="49D0FEAC"/>
    <w:multiLevelType w:val="hybridMultilevel"/>
    <w:lvl w:ilvl="0">
      <w:lvlJc w:val="left"/>
      <w:lvlText w:val="%1."/>
      <w:numFmt w:val="decimal"/>
      <w:start w:val="1"/>
    </w:lvl>
  </w:abstractNum>
  <w:abstractNum w:abstractNumId="125">
    <w:nsid w:val="4BEE5A5B"/>
    <w:multiLevelType w:val="hybridMultilevel"/>
    <w:lvl w:ilvl="0">
      <w:lvlJc w:val="left"/>
      <w:lvlText w:val="%1."/>
      <w:numFmt w:val="decimal"/>
      <w:start w:val="2"/>
    </w:lvl>
  </w:abstractNum>
  <w:abstractNum w:abstractNumId="126">
    <w:nsid w:val="5551B9F3"/>
    <w:multiLevelType w:val="hybridMultilevel"/>
    <w:lvl w:ilvl="0">
      <w:lvlJc w:val="left"/>
      <w:lvlText w:val="%1."/>
      <w:numFmt w:val="decimal"/>
      <w:start w:val="3"/>
    </w:lvl>
  </w:abstractNum>
  <w:abstractNum w:abstractNumId="127">
    <w:nsid w:val="24F6AB8E"/>
    <w:multiLevelType w:val="hybridMultilevel"/>
    <w:lvl w:ilvl="0">
      <w:lvlJc w:val="left"/>
      <w:lvlText w:val="%1."/>
      <w:numFmt w:val="decimal"/>
      <w:start w:val="4"/>
    </w:lvl>
  </w:abstractNum>
  <w:abstractNum w:abstractNumId="128">
    <w:nsid w:val="634C574C"/>
    <w:multiLevelType w:val="hybridMultilevel"/>
    <w:lvl w:ilvl="0">
      <w:lvlJc w:val="left"/>
      <w:lvlText w:val="%1."/>
      <w:numFmt w:val="decimal"/>
      <w:start w:val="5"/>
    </w:lvl>
  </w:abstractNum>
  <w:abstractNum w:abstractNumId="129">
    <w:nsid w:val="24E99DD7"/>
    <w:multiLevelType w:val="hybridMultilevel"/>
    <w:lvl w:ilvl="0">
      <w:lvlJc w:val="left"/>
      <w:lvlText w:val="%1."/>
      <w:numFmt w:val="decimal"/>
      <w:start w:val="6"/>
    </w:lvl>
  </w:abstractNum>
  <w:abstractNum w:abstractNumId="130">
    <w:nsid w:val="2A31B62D"/>
    <w:multiLevelType w:val="hybridMultilevel"/>
    <w:lvl w:ilvl="0">
      <w:lvlJc w:val="left"/>
      <w:lvlText w:val="%1."/>
      <w:numFmt w:val="decimal"/>
      <w:start w:val="8"/>
    </w:lvl>
  </w:abstractNum>
  <w:abstractNum w:abstractNumId="131">
    <w:nsid w:val="1849C29B"/>
    <w:multiLevelType w:val="hybridMultilevel"/>
    <w:lvl w:ilvl="0">
      <w:lvlJc w:val="left"/>
      <w:lvlText w:val="%1."/>
      <w:numFmt w:val="decimal"/>
      <w:start w:val="9"/>
    </w:lvl>
  </w:abstractNum>
  <w:abstractNum w:abstractNumId="132">
    <w:nsid w:val="7DFF9D09"/>
    <w:multiLevelType w:val="hybridMultilevel"/>
    <w:lvl w:ilvl="0">
      <w:lvlJc w:val="left"/>
      <w:lvlText w:val="%1."/>
      <w:numFmt w:val="decimal"/>
      <w:start w:val="10"/>
    </w:lvl>
  </w:abstractNum>
  <w:abstractNum w:abstractNumId="133">
    <w:nsid w:val="754342"/>
    <w:multiLevelType w:val="hybridMultilevel"/>
    <w:lvl w:ilvl="0">
      <w:lvlJc w:val="left"/>
      <w:lvlText w:val="%1."/>
      <w:numFmt w:val="decimal"/>
      <w:start w:val="11"/>
    </w:lvl>
  </w:abstractNum>
  <w:abstractNum w:abstractNumId="134">
    <w:nsid w:val="69E7F3E5"/>
    <w:multiLevelType w:val="hybridMultilevel"/>
    <w:lvl w:ilvl="0">
      <w:lvlJc w:val="left"/>
      <w:lvlText w:val="%1."/>
      <w:numFmt w:val="decimal"/>
      <w:start w:val="12"/>
    </w:lvl>
  </w:abstractNum>
  <w:abstractNum w:abstractNumId="135">
    <w:nsid w:val="2A6DE806"/>
    <w:multiLevelType w:val="hybridMultilevel"/>
    <w:lvl w:ilvl="0">
      <w:lvlJc w:val="left"/>
      <w:lvlText w:val="%1."/>
      <w:numFmt w:val="decimal"/>
      <w:start w:val="13"/>
    </w:lvl>
  </w:abstractNum>
  <w:abstractNum w:abstractNumId="136">
    <w:nsid w:val="1816F8C4"/>
    <w:multiLevelType w:val="hybridMultilevel"/>
    <w:lvl w:ilvl="0">
      <w:lvlJc w:val="left"/>
      <w:lvlText w:val="%1."/>
      <w:numFmt w:val="decimal"/>
      <w:start w:val="14"/>
    </w:lvl>
  </w:abstractNum>
  <w:abstractNum w:abstractNumId="137">
    <w:nsid w:val="37DF2233"/>
    <w:multiLevelType w:val="hybridMultilevel"/>
    <w:lvl w:ilvl="0">
      <w:lvlJc w:val="left"/>
      <w:lvlText w:val="%1."/>
      <w:numFmt w:val="decimal"/>
      <w:start w:val="15"/>
    </w:lvl>
  </w:abstractNum>
  <w:abstractNum w:abstractNumId="138">
    <w:nsid w:val="7AB49DAF"/>
    <w:multiLevelType w:val="hybridMultilevel"/>
    <w:lvl w:ilvl="0">
      <w:lvlJc w:val="left"/>
      <w:lvlText w:val="%1."/>
      <w:numFmt w:val="decimal"/>
      <w:start w:val="16"/>
    </w:lvl>
  </w:abstractNum>
  <w:abstractNum w:abstractNumId="139">
    <w:nsid w:val="759F82CD"/>
    <w:multiLevelType w:val="hybridMultilevel"/>
    <w:lvl w:ilvl="0">
      <w:lvlJc w:val="left"/>
      <w:lvlText w:val="%1."/>
      <w:numFmt w:val="decimal"/>
      <w:start w:val="17"/>
    </w:lvl>
  </w:abstractNum>
  <w:abstractNum w:abstractNumId="140">
    <w:nsid w:val="61E74EA3"/>
    <w:multiLevelType w:val="hybridMultilevel"/>
    <w:lvl w:ilvl="0">
      <w:lvlJc w:val="left"/>
      <w:lvlText w:val="%1."/>
      <w:numFmt w:val="lowerRoman"/>
      <w:start w:val="1"/>
    </w:lvl>
  </w:abstractNum>
  <w:abstractNum w:abstractNumId="141">
    <w:nsid w:val="597B4D84"/>
    <w:multiLevelType w:val="hybridMultilevel"/>
    <w:lvl w:ilvl="0">
      <w:lvlJc w:val="left"/>
      <w:lvlText w:val="(%1)"/>
      <w:numFmt w:val="lowerRoman"/>
      <w:start w:val="1"/>
    </w:lvl>
  </w:abstractNum>
  <w:abstractNum w:abstractNumId="142">
    <w:nsid w:val="F819E7F"/>
    <w:multiLevelType w:val="hybridMultilevel"/>
    <w:lvl w:ilvl="0">
      <w:lvlJc w:val="left"/>
      <w:lvlText w:val="%1."/>
      <w:numFmt w:val="decimal"/>
      <w:start w:val="1"/>
    </w:lvl>
  </w:abstractNum>
  <w:abstractNum w:abstractNumId="143">
    <w:nsid w:val="57C7D42D"/>
    <w:multiLevelType w:val="hybridMultilevel"/>
    <w:lvl w:ilvl="0">
      <w:lvlJc w:val="left"/>
      <w:lvlText w:val="%1"/>
      <w:numFmt w:val="lowerRoman"/>
      <w:start w:val="1"/>
    </w:lvl>
    <w:lvl w:ilvl="1">
      <w:lvlJc w:val="left"/>
      <w:lvlText w:val="%2."/>
      <w:numFmt w:val="decimal"/>
      <w:start w:val="2"/>
    </w:lvl>
  </w:abstractNum>
  <w:abstractNum w:abstractNumId="144">
    <w:nsid w:val="312167AD"/>
    <w:multiLevelType w:val="hybridMultilevel"/>
    <w:lvl w:ilvl="0">
      <w:lvlJc w:val="left"/>
      <w:lvlText w:val="(%1)"/>
      <w:numFmt w:val="lowerRoman"/>
      <w:start w:val="4"/>
    </w:lvl>
    <w:lvl w:ilvl="1">
      <w:lvlJc w:val="left"/>
      <w:lvlText w:val="%2"/>
      <w:numFmt w:val="decimal"/>
      <w:start w:val="1"/>
    </w:lvl>
  </w:abstractNum>
  <w:abstractNum w:abstractNumId="145">
    <w:nsid w:val="631B64D4"/>
    <w:multiLevelType w:val="hybridMultilevel"/>
    <w:lvl w:ilvl="0">
      <w:lvlJc w:val="left"/>
      <w:lvlText w:val="%1."/>
      <w:numFmt w:val="decimal"/>
      <w:start w:val="5"/>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e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jpe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jpe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jpeg"/><Relationship Id="rId285" Type="http://schemas.openxmlformats.org/officeDocument/2006/relationships/image" Target="media/image269.png"/><Relationship Id="rId286" Type="http://schemas.openxmlformats.org/officeDocument/2006/relationships/image" Target="media/image270.jpeg"/><Relationship Id="rId287" Type="http://schemas.openxmlformats.org/officeDocument/2006/relationships/image" Target="media/image271.jpeg"/><Relationship Id="rId288" Type="http://schemas.openxmlformats.org/officeDocument/2006/relationships/image" Target="media/image272.png"/><Relationship Id="rId289" Type="http://schemas.openxmlformats.org/officeDocument/2006/relationships/image" Target="media/image273.jpeg"/><Relationship Id="rId290" Type="http://schemas.openxmlformats.org/officeDocument/2006/relationships/image" Target="media/image274.png"/><Relationship Id="rId291" Type="http://schemas.openxmlformats.org/officeDocument/2006/relationships/image" Target="media/image275.jpeg"/><Relationship Id="rId292" Type="http://schemas.openxmlformats.org/officeDocument/2006/relationships/image" Target="media/image276.png"/><Relationship Id="rId293" Type="http://schemas.openxmlformats.org/officeDocument/2006/relationships/image" Target="media/image277.jpeg"/><Relationship Id="rId294" Type="http://schemas.openxmlformats.org/officeDocument/2006/relationships/image" Target="media/image278.png"/><Relationship Id="rId295" Type="http://schemas.openxmlformats.org/officeDocument/2006/relationships/image" Target="media/image279.jpe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29" Type="http://schemas.openxmlformats.org/officeDocument/2006/relationships/hyperlink" Target="https://www.sec.gov/ix?doc=/Archives/edgar/data/1840233/000119312526118550/xlo-20251231.htm" TargetMode="External"/><Relationship Id="rId30" Type="http://schemas.openxmlformats.org/officeDocument/2006/relationships/hyperlink" Target="https://www.sec.gov/ix?doc=/Archives/edgar/data/0001840233/000119312526218200/xlo-20260331.htm" TargetMode="External"/><Relationship Id="rId31" Type="http://schemas.openxmlformats.org/officeDocument/2006/relationships/hyperlink" Target="https://www.sec.gov/ix?doc=/Archives/edgar/data/0001840233/000119312526103150/xlo-20260312.htm" TargetMode="External"/><Relationship Id="rId32" Type="http://schemas.openxmlformats.org/officeDocument/2006/relationships/hyperlink" Target="https://www.sec.gov/ix?doc=/Archives/edgar/data/0001840233/000119312526157940/xlo-20260416.htm" TargetMode="External"/><Relationship Id="rId33" Type="http://schemas.openxmlformats.org/officeDocument/2006/relationships/hyperlink" Target="https://www.sec.gov/Archives/edgar/data/1840233/000110465921127173/tm2115750d15_8a12b.htm" TargetMode="External"/><Relationship Id="rId34" Type="http://schemas.openxmlformats.org/officeDocument/2006/relationships/hyperlink" Target="https://www.sec.gov/Archives/edgar/data/1840233/000119312526118550/xlo-ex4_4.htm" TargetMode="External"/><Relationship Id="rId111" Type="http://schemas.openxmlformats.org/officeDocument/2006/relationships/hyperlink" Target="https://www.sec.gov/Archives/edgar/data/1840233/000119312525051532/d897420dex11.htm" TargetMode="External"/><Relationship Id="rId112" Type="http://schemas.openxmlformats.org/officeDocument/2006/relationships/hyperlink" Target="https://www.sec.gov/Archives/edgar/data/1840233/000119312526118550/xlo-ex3_1.htm" TargetMode="External"/><Relationship Id="rId113" Type="http://schemas.openxmlformats.org/officeDocument/2006/relationships/hyperlink" Target="https://www.sec.gov/Archives/edgar/data/1840233/000155837023005393/xlo-20230328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2026-05-27T17:20:27Z</dcterms:created>
  <dcterms:modified xsi:type="dcterms:W3CDTF">2026-05-27T17:20:27Z</dcterms:modified>
</cp:coreProperties>
</file>